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Arial" w:eastAsia="Batang" w:hAnsi="Arial" w:cs="Arial"/>
          <w:b w:val="0"/>
          <w:bCs w:val="0"/>
          <w:color w:val="auto"/>
          <w:sz w:val="22"/>
          <w:szCs w:val="22"/>
          <w:lang w:eastAsia="es-ES"/>
        </w:rPr>
        <w:id w:val="7261898"/>
        <w:docPartObj>
          <w:docPartGallery w:val="Table of Contents"/>
          <w:docPartUnique/>
        </w:docPartObj>
      </w:sdtPr>
      <w:sdtEndPr/>
      <w:sdtContent>
        <w:p w:rsidR="00214118" w:rsidRPr="009B12FF" w:rsidRDefault="00214118" w:rsidP="00462EEB">
          <w:pPr>
            <w:pStyle w:val="TtulodeTDC"/>
            <w:jc w:val="center"/>
            <w:rPr>
              <w:rFonts w:ascii="Arial" w:hAnsi="Arial" w:cs="Arial"/>
              <w:sz w:val="22"/>
              <w:szCs w:val="22"/>
            </w:rPr>
          </w:pPr>
          <w:r w:rsidRPr="009B12FF">
            <w:rPr>
              <w:rFonts w:ascii="Arial" w:hAnsi="Arial" w:cs="Arial"/>
              <w:sz w:val="22"/>
              <w:szCs w:val="22"/>
            </w:rPr>
            <w:t>Contenido</w:t>
          </w:r>
        </w:p>
        <w:p w:rsidR="00F51996" w:rsidRPr="009B12FF" w:rsidRDefault="00F51996" w:rsidP="00F51996">
          <w:pPr>
            <w:rPr>
              <w:lang w:eastAsia="en-US"/>
            </w:rPr>
          </w:pPr>
        </w:p>
        <w:p w:rsidR="00F51996" w:rsidRPr="009B12FF" w:rsidRDefault="00F51996" w:rsidP="00F51996">
          <w:pPr>
            <w:rPr>
              <w:lang w:eastAsia="en-US"/>
            </w:rPr>
          </w:pPr>
        </w:p>
        <w:p w:rsidR="00E4392D" w:rsidRDefault="0049682E" w:rsidP="000C30BD">
          <w:pPr>
            <w:pStyle w:val="TDC1"/>
          </w:pPr>
          <w:r w:rsidRPr="009B12FF">
            <w:fldChar w:fldCharType="begin"/>
          </w:r>
          <w:r w:rsidR="00214118" w:rsidRPr="009B12FF">
            <w:instrText xml:space="preserve"> TOC \o "1-3" \h \z \u </w:instrText>
          </w:r>
          <w:r w:rsidRPr="009B12FF">
            <w:fldChar w:fldCharType="separate"/>
          </w:r>
          <w:hyperlink w:anchor="_Toc376955551" w:history="1">
            <w:r w:rsidR="00E4392D" w:rsidRPr="009B12FF">
              <w:rPr>
                <w:rStyle w:val="Hipervnculo"/>
              </w:rPr>
              <w:t>I. Aspectos generales</w:t>
            </w:r>
            <w:r w:rsidR="00E4392D" w:rsidRPr="009B12FF">
              <w:rPr>
                <w:webHidden/>
              </w:rPr>
              <w:tab/>
            </w:r>
            <w:r w:rsidR="00E4392D" w:rsidRPr="009B12FF">
              <w:rPr>
                <w:webHidden/>
              </w:rPr>
              <w:fldChar w:fldCharType="begin"/>
            </w:r>
            <w:r w:rsidR="00E4392D" w:rsidRPr="009B12FF">
              <w:rPr>
                <w:webHidden/>
              </w:rPr>
              <w:instrText xml:space="preserve"> PAGEREF _Toc376955551 \h </w:instrText>
            </w:r>
            <w:r w:rsidR="00E4392D" w:rsidRPr="009B12FF">
              <w:rPr>
                <w:webHidden/>
              </w:rPr>
            </w:r>
            <w:r w:rsidR="00E4392D" w:rsidRPr="009B12FF">
              <w:rPr>
                <w:webHidden/>
              </w:rPr>
              <w:fldChar w:fldCharType="separate"/>
            </w:r>
            <w:r w:rsidR="004F66FF">
              <w:rPr>
                <w:webHidden/>
              </w:rPr>
              <w:t>- 2 -</w:t>
            </w:r>
            <w:r w:rsidR="00E4392D" w:rsidRPr="009B12FF">
              <w:rPr>
                <w:webHidden/>
              </w:rPr>
              <w:fldChar w:fldCharType="end"/>
            </w:r>
          </w:hyperlink>
        </w:p>
        <w:p w:rsidR="006F4F34" w:rsidRPr="006F4F34" w:rsidRDefault="006F4F34" w:rsidP="006F4F34">
          <w:pPr>
            <w:rPr>
              <w:lang w:eastAsia="en-US"/>
            </w:rPr>
          </w:pPr>
        </w:p>
        <w:p w:rsidR="00E4392D" w:rsidRDefault="00780FAD" w:rsidP="000C30BD">
          <w:pPr>
            <w:pStyle w:val="TDC1"/>
          </w:pPr>
          <w:hyperlink w:anchor="_Toc376955553" w:history="1">
            <w:r w:rsidR="00E4392D" w:rsidRPr="009B12FF">
              <w:rPr>
                <w:rStyle w:val="Hipervnculo"/>
              </w:rPr>
              <w:t>II. Criterios de valoración aplicados para c</w:t>
            </w:r>
            <w:r w:rsidR="00F64CDF" w:rsidRPr="009B12FF">
              <w:rPr>
                <w:rStyle w:val="Hipervnculo"/>
              </w:rPr>
              <w:t xml:space="preserve">alificar el cumplimiento de las </w:t>
            </w:r>
            <w:r w:rsidR="00E4392D" w:rsidRPr="009B12FF">
              <w:rPr>
                <w:rStyle w:val="Hipervnculo"/>
              </w:rPr>
              <w:t>metas</w:t>
            </w:r>
            <w:r w:rsidR="00E4392D" w:rsidRPr="009B12FF">
              <w:rPr>
                <w:webHidden/>
              </w:rPr>
              <w:tab/>
            </w:r>
            <w:r w:rsidR="00E4392D" w:rsidRPr="009B12FF">
              <w:rPr>
                <w:webHidden/>
              </w:rPr>
              <w:fldChar w:fldCharType="begin"/>
            </w:r>
            <w:r w:rsidR="00E4392D" w:rsidRPr="009B12FF">
              <w:rPr>
                <w:webHidden/>
              </w:rPr>
              <w:instrText xml:space="preserve"> PAGEREF _Toc376955553 \h </w:instrText>
            </w:r>
            <w:r w:rsidR="00E4392D" w:rsidRPr="009B12FF">
              <w:rPr>
                <w:webHidden/>
              </w:rPr>
            </w:r>
            <w:r w:rsidR="00E4392D" w:rsidRPr="009B12FF">
              <w:rPr>
                <w:webHidden/>
              </w:rPr>
              <w:fldChar w:fldCharType="separate"/>
            </w:r>
            <w:r w:rsidR="004F66FF">
              <w:rPr>
                <w:webHidden/>
              </w:rPr>
              <w:t>- 2 -</w:t>
            </w:r>
            <w:r w:rsidR="00E4392D" w:rsidRPr="009B12FF">
              <w:rPr>
                <w:webHidden/>
              </w:rPr>
              <w:fldChar w:fldCharType="end"/>
            </w:r>
          </w:hyperlink>
        </w:p>
        <w:p w:rsidR="006F4F34" w:rsidRPr="006F4F34" w:rsidRDefault="006F4F34" w:rsidP="006F4F34">
          <w:pPr>
            <w:rPr>
              <w:lang w:eastAsia="en-US"/>
            </w:rPr>
          </w:pPr>
        </w:p>
        <w:p w:rsidR="00E4392D" w:rsidRPr="009B12FF" w:rsidRDefault="00780FAD" w:rsidP="000C30BD">
          <w:pPr>
            <w:pStyle w:val="TDC1"/>
            <w:rPr>
              <w:lang w:val="es-CR" w:eastAsia="es-CR"/>
            </w:rPr>
          </w:pPr>
          <w:hyperlink w:anchor="_Toc376955554" w:history="1">
            <w:r w:rsidR="00E4392D" w:rsidRPr="009B12FF">
              <w:rPr>
                <w:rStyle w:val="Hipervnculo"/>
              </w:rPr>
              <w:t>III.</w:t>
            </w:r>
            <w:r w:rsidR="00E4392D" w:rsidRPr="009B12FF">
              <w:rPr>
                <w:lang w:val="es-CR" w:eastAsia="es-CR"/>
              </w:rPr>
              <w:tab/>
            </w:r>
            <w:r w:rsidR="00E4392D" w:rsidRPr="009B12FF">
              <w:rPr>
                <w:rStyle w:val="Hipervnculo"/>
              </w:rPr>
              <w:t>Seguimiento de metas anuales de los programas sustantivos</w:t>
            </w:r>
            <w:r w:rsidR="00E4392D" w:rsidRPr="009B12FF">
              <w:rPr>
                <w:webHidden/>
              </w:rPr>
              <w:tab/>
            </w:r>
            <w:r w:rsidR="00E4392D" w:rsidRPr="009B12FF">
              <w:rPr>
                <w:webHidden/>
              </w:rPr>
              <w:fldChar w:fldCharType="begin"/>
            </w:r>
            <w:r w:rsidR="00E4392D" w:rsidRPr="009B12FF">
              <w:rPr>
                <w:webHidden/>
              </w:rPr>
              <w:instrText xml:space="preserve"> PAGEREF _Toc376955554 \h </w:instrText>
            </w:r>
            <w:r w:rsidR="00E4392D" w:rsidRPr="009B12FF">
              <w:rPr>
                <w:webHidden/>
              </w:rPr>
            </w:r>
            <w:r w:rsidR="00E4392D" w:rsidRPr="009B12FF">
              <w:rPr>
                <w:webHidden/>
              </w:rPr>
              <w:fldChar w:fldCharType="separate"/>
            </w:r>
            <w:r w:rsidR="004F66FF">
              <w:rPr>
                <w:webHidden/>
              </w:rPr>
              <w:t>- 2 -</w:t>
            </w:r>
            <w:r w:rsidR="00E4392D" w:rsidRPr="009B12FF">
              <w:rPr>
                <w:webHidden/>
              </w:rPr>
              <w:fldChar w:fldCharType="end"/>
            </w:r>
          </w:hyperlink>
        </w:p>
        <w:p w:rsidR="008B1EB8" w:rsidRPr="009B12FF" w:rsidRDefault="008B1EB8" w:rsidP="00910A0D">
          <w:pPr>
            <w:pStyle w:val="TDC2"/>
            <w:rPr>
              <w:noProof/>
            </w:rPr>
          </w:pPr>
        </w:p>
        <w:p w:rsidR="00E4392D" w:rsidRPr="009B12FF" w:rsidRDefault="00780FAD" w:rsidP="00910A0D">
          <w:pPr>
            <w:pStyle w:val="TDC2"/>
            <w:rPr>
              <w:noProof/>
              <w:lang w:val="es-CR" w:eastAsia="es-CR"/>
            </w:rPr>
          </w:pPr>
          <w:hyperlink w:anchor="_Toc376955555" w:history="1">
            <w:r w:rsidR="00E4392D" w:rsidRPr="009B12FF">
              <w:rPr>
                <w:rStyle w:val="Hipervnculo"/>
                <w:rFonts w:ascii="Arial" w:hAnsi="Arial" w:cs="Arial"/>
                <w:b/>
                <w:iCs/>
                <w:noProof/>
                <w:sz w:val="24"/>
                <w:szCs w:val="24"/>
              </w:rPr>
              <w:t>Programa 1 Actividades Centrales (Gerencia Administrativa Financiera)</w:t>
            </w:r>
            <w:r w:rsidR="00E4392D" w:rsidRPr="009B12FF">
              <w:rPr>
                <w:noProof/>
                <w:webHidden/>
              </w:rPr>
              <w:tab/>
            </w:r>
            <w:r w:rsidR="00E4392D" w:rsidRPr="009B12FF">
              <w:rPr>
                <w:noProof/>
                <w:webHidden/>
              </w:rPr>
              <w:fldChar w:fldCharType="begin"/>
            </w:r>
            <w:r w:rsidR="00E4392D" w:rsidRPr="009B12FF">
              <w:rPr>
                <w:noProof/>
                <w:webHidden/>
              </w:rPr>
              <w:instrText xml:space="preserve"> PAGEREF _Toc376955555 \h </w:instrText>
            </w:r>
            <w:r w:rsidR="00E4392D" w:rsidRPr="009B12FF">
              <w:rPr>
                <w:noProof/>
                <w:webHidden/>
              </w:rPr>
            </w:r>
            <w:r w:rsidR="00E4392D" w:rsidRPr="009B12FF">
              <w:rPr>
                <w:noProof/>
                <w:webHidden/>
              </w:rPr>
              <w:fldChar w:fldCharType="separate"/>
            </w:r>
            <w:r w:rsidR="004F66FF">
              <w:rPr>
                <w:noProof/>
                <w:webHidden/>
              </w:rPr>
              <w:t>- 3 -</w:t>
            </w:r>
            <w:r w:rsidR="00E4392D" w:rsidRPr="009B12FF">
              <w:rPr>
                <w:noProof/>
                <w:webHidden/>
              </w:rPr>
              <w:fldChar w:fldCharType="end"/>
            </w:r>
          </w:hyperlink>
        </w:p>
        <w:p w:rsidR="00910A0D" w:rsidRPr="009B12FF" w:rsidRDefault="003B788D" w:rsidP="00A03FF8">
          <w:pPr>
            <w:pStyle w:val="TDC1"/>
            <w:spacing w:line="240" w:lineRule="auto"/>
            <w:ind w:hanging="284"/>
            <w:rPr>
              <w:b w:val="0"/>
            </w:rPr>
          </w:pPr>
          <w:r w:rsidRPr="009B12FF">
            <w:t xml:space="preserve"> </w:t>
          </w:r>
        </w:p>
        <w:p w:rsidR="00E4392D" w:rsidRPr="009B12FF" w:rsidRDefault="00780FAD" w:rsidP="00910A0D">
          <w:pPr>
            <w:pStyle w:val="TDC2"/>
            <w:rPr>
              <w:noProof/>
              <w:lang w:val="es-CR" w:eastAsia="es-CR"/>
            </w:rPr>
          </w:pPr>
          <w:hyperlink w:anchor="_Toc376955560" w:history="1">
            <w:r w:rsidR="00E4392D" w:rsidRPr="009B12FF">
              <w:rPr>
                <w:rStyle w:val="Hipervnculo"/>
                <w:rFonts w:ascii="Arial" w:hAnsi="Arial" w:cs="Arial"/>
                <w:b/>
                <w:noProof/>
                <w:sz w:val="24"/>
                <w:szCs w:val="24"/>
              </w:rPr>
              <w:t>Programa 2, Administración de Loterías (</w:t>
            </w:r>
            <w:r w:rsidR="00CD75CE" w:rsidRPr="009B12FF">
              <w:rPr>
                <w:rStyle w:val="Hipervnculo"/>
                <w:rFonts w:ascii="Arial" w:hAnsi="Arial" w:cs="Arial"/>
                <w:b/>
                <w:noProof/>
                <w:sz w:val="24"/>
                <w:szCs w:val="24"/>
              </w:rPr>
              <w:t xml:space="preserve">Gerencia </w:t>
            </w:r>
            <w:r w:rsidR="00E4392D" w:rsidRPr="009B12FF">
              <w:rPr>
                <w:rStyle w:val="Hipervnculo"/>
                <w:rFonts w:ascii="Arial" w:hAnsi="Arial" w:cs="Arial"/>
                <w:b/>
                <w:noProof/>
                <w:sz w:val="24"/>
                <w:szCs w:val="24"/>
              </w:rPr>
              <w:t xml:space="preserve">Producción y </w:t>
            </w:r>
            <w:r w:rsidR="009E5723" w:rsidRPr="009B12FF">
              <w:rPr>
                <w:rStyle w:val="Hipervnculo"/>
                <w:rFonts w:ascii="Arial" w:hAnsi="Arial" w:cs="Arial"/>
                <w:b/>
                <w:noProof/>
                <w:sz w:val="24"/>
                <w:szCs w:val="24"/>
              </w:rPr>
              <w:t>Comercialización</w:t>
            </w:r>
            <w:r w:rsidR="00E4392D" w:rsidRPr="009B12FF">
              <w:rPr>
                <w:rStyle w:val="Hipervnculo"/>
                <w:rFonts w:ascii="Arial" w:hAnsi="Arial" w:cs="Arial"/>
                <w:b/>
                <w:noProof/>
                <w:sz w:val="24"/>
                <w:szCs w:val="24"/>
              </w:rPr>
              <w:t>)</w:t>
            </w:r>
            <w:r w:rsidR="00E4392D" w:rsidRPr="009B12FF">
              <w:rPr>
                <w:noProof/>
                <w:webHidden/>
              </w:rPr>
              <w:tab/>
            </w:r>
            <w:r w:rsidR="00E4392D" w:rsidRPr="009B12FF">
              <w:rPr>
                <w:noProof/>
                <w:webHidden/>
              </w:rPr>
              <w:fldChar w:fldCharType="begin"/>
            </w:r>
            <w:r w:rsidR="00E4392D" w:rsidRPr="009B12FF">
              <w:rPr>
                <w:noProof/>
                <w:webHidden/>
              </w:rPr>
              <w:instrText xml:space="preserve"> PAGEREF _Toc376955560 \h </w:instrText>
            </w:r>
            <w:r w:rsidR="00E4392D" w:rsidRPr="009B12FF">
              <w:rPr>
                <w:noProof/>
                <w:webHidden/>
              </w:rPr>
            </w:r>
            <w:r w:rsidR="00E4392D" w:rsidRPr="009B12FF">
              <w:rPr>
                <w:noProof/>
                <w:webHidden/>
              </w:rPr>
              <w:fldChar w:fldCharType="separate"/>
            </w:r>
            <w:r w:rsidR="004F66FF">
              <w:rPr>
                <w:noProof/>
                <w:webHidden/>
              </w:rPr>
              <w:t>- 8 -</w:t>
            </w:r>
            <w:r w:rsidR="00E4392D" w:rsidRPr="009B12FF">
              <w:rPr>
                <w:noProof/>
                <w:webHidden/>
              </w:rPr>
              <w:fldChar w:fldCharType="end"/>
            </w:r>
          </w:hyperlink>
        </w:p>
        <w:p w:rsidR="005669FB" w:rsidRDefault="005669FB" w:rsidP="00910A0D">
          <w:pPr>
            <w:pStyle w:val="TDC2"/>
            <w:rPr>
              <w:noProof/>
            </w:rPr>
          </w:pPr>
        </w:p>
        <w:p w:rsidR="00DE75BC" w:rsidRPr="009B12FF" w:rsidRDefault="00780FAD" w:rsidP="00910A0D">
          <w:pPr>
            <w:pStyle w:val="TDC2"/>
            <w:rPr>
              <w:noProof/>
              <w:lang w:val="es-CR" w:eastAsia="es-CR"/>
            </w:rPr>
          </w:pPr>
          <w:hyperlink w:anchor="_Toc376955560" w:history="1">
            <w:r w:rsidR="00DE75BC" w:rsidRPr="009B12FF">
              <w:rPr>
                <w:rStyle w:val="Hipervnculo"/>
                <w:rFonts w:ascii="Arial" w:hAnsi="Arial" w:cs="Arial"/>
                <w:b/>
                <w:noProof/>
                <w:sz w:val="24"/>
                <w:szCs w:val="24"/>
              </w:rPr>
              <w:t xml:space="preserve">Programa 3, Administración de </w:t>
            </w:r>
            <w:r w:rsidR="00DD786A" w:rsidRPr="009B12FF">
              <w:rPr>
                <w:rStyle w:val="Hipervnculo"/>
                <w:rFonts w:ascii="Arial" w:hAnsi="Arial" w:cs="Arial"/>
                <w:b/>
                <w:noProof/>
                <w:sz w:val="24"/>
                <w:szCs w:val="24"/>
              </w:rPr>
              <w:t>Campos Santos</w:t>
            </w:r>
            <w:r w:rsidR="00DE75BC" w:rsidRPr="009B12FF">
              <w:rPr>
                <w:rStyle w:val="Hipervnculo"/>
                <w:rFonts w:ascii="Arial" w:hAnsi="Arial" w:cs="Arial"/>
                <w:b/>
                <w:noProof/>
                <w:sz w:val="24"/>
                <w:szCs w:val="24"/>
              </w:rPr>
              <w:t xml:space="preserve"> (Gerencia </w:t>
            </w:r>
            <w:r w:rsidR="00DD786A" w:rsidRPr="009B12FF">
              <w:rPr>
                <w:rStyle w:val="Hipervnculo"/>
                <w:rFonts w:ascii="Arial" w:hAnsi="Arial" w:cs="Arial"/>
                <w:b/>
                <w:noProof/>
                <w:sz w:val="24"/>
                <w:szCs w:val="24"/>
              </w:rPr>
              <w:t>Desarrollo Social</w:t>
            </w:r>
            <w:r w:rsidR="00DE75BC" w:rsidRPr="009B12FF">
              <w:rPr>
                <w:rStyle w:val="Hipervnculo"/>
                <w:rFonts w:ascii="Arial" w:hAnsi="Arial" w:cs="Arial"/>
                <w:b/>
                <w:noProof/>
                <w:sz w:val="24"/>
                <w:szCs w:val="24"/>
              </w:rPr>
              <w:t>)</w:t>
            </w:r>
            <w:r w:rsidR="00DE75BC" w:rsidRPr="009B12FF">
              <w:rPr>
                <w:noProof/>
                <w:webHidden/>
              </w:rPr>
              <w:tab/>
            </w:r>
            <w:r w:rsidR="00580972">
              <w:rPr>
                <w:noProof/>
                <w:webHidden/>
              </w:rPr>
              <w:t>-14</w:t>
            </w:r>
            <w:r w:rsidR="00752590">
              <w:rPr>
                <w:noProof/>
                <w:webHidden/>
              </w:rPr>
              <w:t>-</w:t>
            </w:r>
          </w:hyperlink>
        </w:p>
        <w:p w:rsidR="00F51996" w:rsidRPr="009B12FF" w:rsidRDefault="00F51996" w:rsidP="00910A0D">
          <w:pPr>
            <w:pStyle w:val="TDC2"/>
            <w:rPr>
              <w:noProof/>
            </w:rPr>
          </w:pPr>
        </w:p>
        <w:p w:rsidR="00DD786A" w:rsidRPr="009B12FF" w:rsidRDefault="00780FAD" w:rsidP="00910A0D">
          <w:pPr>
            <w:pStyle w:val="TDC2"/>
            <w:rPr>
              <w:noProof/>
              <w:lang w:val="es-CR" w:eastAsia="es-CR"/>
            </w:rPr>
          </w:pPr>
          <w:hyperlink w:anchor="_Toc376955560" w:history="1">
            <w:r w:rsidR="00DD786A" w:rsidRPr="009B12FF">
              <w:rPr>
                <w:rStyle w:val="Hipervnculo"/>
                <w:rFonts w:ascii="Arial" w:hAnsi="Arial" w:cs="Arial"/>
                <w:b/>
                <w:noProof/>
                <w:sz w:val="24"/>
                <w:szCs w:val="24"/>
              </w:rPr>
              <w:t>Programa 4, A</w:t>
            </w:r>
            <w:r w:rsidR="00B3111F" w:rsidRPr="009B12FF">
              <w:rPr>
                <w:rStyle w:val="Hipervnculo"/>
                <w:rFonts w:ascii="Arial" w:hAnsi="Arial" w:cs="Arial"/>
                <w:b/>
                <w:noProof/>
                <w:sz w:val="24"/>
                <w:szCs w:val="24"/>
              </w:rPr>
              <w:t>cción Social</w:t>
            </w:r>
            <w:r w:rsidR="00DD786A" w:rsidRPr="009B12FF">
              <w:rPr>
                <w:rStyle w:val="Hipervnculo"/>
                <w:rFonts w:ascii="Arial" w:hAnsi="Arial" w:cs="Arial"/>
                <w:b/>
                <w:noProof/>
                <w:sz w:val="24"/>
                <w:szCs w:val="24"/>
              </w:rPr>
              <w:t xml:space="preserve"> (Gerencia </w:t>
            </w:r>
            <w:r w:rsidR="00B3111F" w:rsidRPr="009B12FF">
              <w:rPr>
                <w:rStyle w:val="Hipervnculo"/>
                <w:rFonts w:ascii="Arial" w:hAnsi="Arial" w:cs="Arial"/>
                <w:b/>
                <w:noProof/>
                <w:sz w:val="24"/>
                <w:szCs w:val="24"/>
              </w:rPr>
              <w:t>Desarrollo Social</w:t>
            </w:r>
            <w:r w:rsidR="00DD786A" w:rsidRPr="009B12FF">
              <w:rPr>
                <w:rStyle w:val="Hipervnculo"/>
                <w:rFonts w:ascii="Arial" w:hAnsi="Arial" w:cs="Arial"/>
                <w:b/>
                <w:noProof/>
                <w:sz w:val="24"/>
                <w:szCs w:val="24"/>
              </w:rPr>
              <w:t>)</w:t>
            </w:r>
            <w:r w:rsidR="00DD786A" w:rsidRPr="009B12FF">
              <w:rPr>
                <w:noProof/>
                <w:webHidden/>
              </w:rPr>
              <w:tab/>
            </w:r>
            <w:r w:rsidR="00580972">
              <w:rPr>
                <w:noProof/>
                <w:webHidden/>
              </w:rPr>
              <w:t>-16</w:t>
            </w:r>
            <w:r w:rsidR="00752590">
              <w:rPr>
                <w:noProof/>
                <w:webHidden/>
              </w:rPr>
              <w:t>-</w:t>
            </w:r>
          </w:hyperlink>
        </w:p>
        <w:p w:rsidR="00B3111F" w:rsidRPr="009B12FF" w:rsidRDefault="00F51996" w:rsidP="00A03FF8">
          <w:pPr>
            <w:pStyle w:val="TDC1"/>
          </w:pPr>
          <w:r w:rsidRPr="009B12FF">
            <w:t xml:space="preserve"> </w:t>
          </w:r>
        </w:p>
        <w:p w:rsidR="00E4392D" w:rsidRDefault="00780FAD" w:rsidP="000C30BD">
          <w:pPr>
            <w:pStyle w:val="TDC1"/>
          </w:pPr>
          <w:hyperlink w:anchor="_Toc376955562" w:history="1">
            <w:r w:rsidR="00E4392D" w:rsidRPr="009B12FF">
              <w:rPr>
                <w:rStyle w:val="Hipervnculo"/>
                <w:rFonts w:cs="Times New Roman"/>
              </w:rPr>
              <w:t>IV.</w:t>
            </w:r>
            <w:r w:rsidR="00E4392D" w:rsidRPr="009B12FF">
              <w:rPr>
                <w:lang w:val="es-CR" w:eastAsia="es-CR"/>
              </w:rPr>
              <w:tab/>
            </w:r>
            <w:r w:rsidR="00E4392D" w:rsidRPr="009B12FF">
              <w:rPr>
                <w:rStyle w:val="Hipervnculo"/>
              </w:rPr>
              <w:t>Resumen del cumplimiento de las metas de los programas sustantivos según las categorías de valoración</w:t>
            </w:r>
            <w:r w:rsidR="00E4392D" w:rsidRPr="009B12FF">
              <w:rPr>
                <w:webHidden/>
              </w:rPr>
              <w:tab/>
            </w:r>
            <w:r w:rsidR="00E4392D" w:rsidRPr="009B12FF">
              <w:rPr>
                <w:webHidden/>
              </w:rPr>
              <w:fldChar w:fldCharType="begin"/>
            </w:r>
            <w:r w:rsidR="00E4392D" w:rsidRPr="009B12FF">
              <w:rPr>
                <w:webHidden/>
              </w:rPr>
              <w:instrText xml:space="preserve"> PAGEREF _Toc376955562 \h </w:instrText>
            </w:r>
            <w:r w:rsidR="00E4392D" w:rsidRPr="009B12FF">
              <w:rPr>
                <w:webHidden/>
              </w:rPr>
            </w:r>
            <w:r w:rsidR="00E4392D" w:rsidRPr="009B12FF">
              <w:rPr>
                <w:webHidden/>
              </w:rPr>
              <w:fldChar w:fldCharType="separate"/>
            </w:r>
            <w:r w:rsidR="004F66FF">
              <w:rPr>
                <w:webHidden/>
              </w:rPr>
              <w:t>- 29 -</w:t>
            </w:r>
            <w:r w:rsidR="00E4392D" w:rsidRPr="009B12FF">
              <w:rPr>
                <w:webHidden/>
              </w:rPr>
              <w:fldChar w:fldCharType="end"/>
            </w:r>
          </w:hyperlink>
        </w:p>
        <w:p w:rsidR="006F4F34" w:rsidRPr="006F4F34" w:rsidRDefault="006F4F34" w:rsidP="006F4F34">
          <w:pPr>
            <w:rPr>
              <w:lang w:eastAsia="en-US"/>
            </w:rPr>
          </w:pPr>
        </w:p>
        <w:p w:rsidR="00E4392D" w:rsidRPr="009B12FF" w:rsidRDefault="00780FAD" w:rsidP="000C30BD">
          <w:pPr>
            <w:pStyle w:val="TDC1"/>
            <w:rPr>
              <w:lang w:val="es-CR" w:eastAsia="es-CR"/>
            </w:rPr>
          </w:pPr>
          <w:hyperlink w:anchor="_Toc376955563" w:history="1">
            <w:r w:rsidR="00E4392D" w:rsidRPr="009B12FF">
              <w:rPr>
                <w:rStyle w:val="Hipervnculo"/>
                <w:rFonts w:cs="Times New Roman"/>
              </w:rPr>
              <w:t>V.</w:t>
            </w:r>
            <w:r w:rsidR="00E4392D" w:rsidRPr="009B12FF">
              <w:rPr>
                <w:lang w:val="es-CR" w:eastAsia="es-CR"/>
              </w:rPr>
              <w:tab/>
            </w:r>
            <w:r w:rsidR="00E4392D" w:rsidRPr="009B12FF">
              <w:rPr>
                <w:rStyle w:val="Hipervnculo"/>
              </w:rPr>
              <w:t>Comportamiento de la ejecución presupuestaria por programas y a</w:t>
            </w:r>
            <w:r w:rsidR="00E7780B" w:rsidRPr="009B12FF">
              <w:rPr>
                <w:rStyle w:val="Hipervnculo"/>
              </w:rPr>
              <w:t xml:space="preserve"> nivel total por el periodo 2013</w:t>
            </w:r>
            <w:r w:rsidR="00E4392D" w:rsidRPr="009B12FF">
              <w:rPr>
                <w:webHidden/>
              </w:rPr>
              <w:tab/>
            </w:r>
            <w:r w:rsidR="00E4392D" w:rsidRPr="009B12FF">
              <w:rPr>
                <w:webHidden/>
              </w:rPr>
              <w:fldChar w:fldCharType="begin"/>
            </w:r>
            <w:r w:rsidR="00E4392D" w:rsidRPr="009B12FF">
              <w:rPr>
                <w:webHidden/>
              </w:rPr>
              <w:instrText xml:space="preserve"> PAGEREF _Toc376955563 \h </w:instrText>
            </w:r>
            <w:r w:rsidR="00E4392D" w:rsidRPr="009B12FF">
              <w:rPr>
                <w:webHidden/>
              </w:rPr>
            </w:r>
            <w:r w:rsidR="00E4392D" w:rsidRPr="009B12FF">
              <w:rPr>
                <w:webHidden/>
              </w:rPr>
              <w:fldChar w:fldCharType="separate"/>
            </w:r>
            <w:r w:rsidR="004F66FF">
              <w:rPr>
                <w:webHidden/>
              </w:rPr>
              <w:t>- 29 -</w:t>
            </w:r>
            <w:r w:rsidR="00E4392D" w:rsidRPr="009B12FF">
              <w:rPr>
                <w:webHidden/>
              </w:rPr>
              <w:fldChar w:fldCharType="end"/>
            </w:r>
          </w:hyperlink>
        </w:p>
        <w:p w:rsidR="00214118" w:rsidRPr="009B12FF" w:rsidRDefault="0049682E">
          <w:pPr>
            <w:rPr>
              <w:rFonts w:ascii="Arial" w:hAnsi="Arial" w:cs="Arial"/>
              <w:sz w:val="22"/>
              <w:szCs w:val="22"/>
            </w:rPr>
          </w:pPr>
          <w:r w:rsidRPr="009B12FF">
            <w:rPr>
              <w:rFonts w:ascii="Arial" w:hAnsi="Arial" w:cs="Arial"/>
              <w:sz w:val="22"/>
              <w:szCs w:val="22"/>
            </w:rPr>
            <w:fldChar w:fldCharType="end"/>
          </w:r>
        </w:p>
      </w:sdtContent>
    </w:sdt>
    <w:p w:rsidR="005A63BC" w:rsidRPr="009B12FF" w:rsidRDefault="005A63BC" w:rsidP="009A7603">
      <w:pPr>
        <w:jc w:val="both"/>
        <w:rPr>
          <w:rFonts w:ascii="Arial" w:hAnsi="Arial" w:cs="Arial"/>
          <w:color w:val="000000" w:themeColor="text1"/>
          <w:sz w:val="22"/>
          <w:szCs w:val="22"/>
        </w:rPr>
      </w:pPr>
    </w:p>
    <w:p w:rsidR="00214118" w:rsidRPr="009B12FF" w:rsidRDefault="00214118" w:rsidP="009A7603">
      <w:pPr>
        <w:jc w:val="both"/>
        <w:rPr>
          <w:rFonts w:ascii="Arial" w:hAnsi="Arial" w:cs="Arial"/>
          <w:color w:val="000000" w:themeColor="text1"/>
          <w:sz w:val="22"/>
          <w:szCs w:val="22"/>
        </w:rPr>
      </w:pPr>
    </w:p>
    <w:p w:rsidR="00214118" w:rsidRPr="009B12FF" w:rsidRDefault="00214118" w:rsidP="009A7603">
      <w:pPr>
        <w:jc w:val="both"/>
        <w:rPr>
          <w:rFonts w:ascii="Arial" w:hAnsi="Arial" w:cs="Arial"/>
          <w:color w:val="000000" w:themeColor="text1"/>
          <w:sz w:val="22"/>
          <w:szCs w:val="22"/>
        </w:rPr>
      </w:pPr>
    </w:p>
    <w:p w:rsidR="00214118" w:rsidRPr="009B12FF" w:rsidRDefault="00214118" w:rsidP="009A7603">
      <w:pPr>
        <w:jc w:val="both"/>
        <w:rPr>
          <w:rFonts w:ascii="Arial" w:hAnsi="Arial" w:cs="Arial"/>
          <w:color w:val="000000" w:themeColor="text1"/>
          <w:sz w:val="22"/>
          <w:szCs w:val="22"/>
        </w:rPr>
      </w:pPr>
    </w:p>
    <w:p w:rsidR="00214118" w:rsidRPr="009B12FF" w:rsidRDefault="00214118" w:rsidP="009A7603">
      <w:pPr>
        <w:jc w:val="both"/>
        <w:rPr>
          <w:rFonts w:ascii="Arial" w:hAnsi="Arial" w:cs="Arial"/>
          <w:color w:val="000000" w:themeColor="text1"/>
          <w:sz w:val="22"/>
          <w:szCs w:val="22"/>
        </w:rPr>
      </w:pPr>
    </w:p>
    <w:p w:rsidR="00214118" w:rsidRPr="009B12FF" w:rsidRDefault="00214118" w:rsidP="009A7603">
      <w:pPr>
        <w:jc w:val="both"/>
        <w:rPr>
          <w:rFonts w:ascii="Arial" w:hAnsi="Arial" w:cs="Arial"/>
          <w:color w:val="000000" w:themeColor="text1"/>
          <w:sz w:val="22"/>
          <w:szCs w:val="22"/>
        </w:rPr>
      </w:pPr>
    </w:p>
    <w:p w:rsidR="00214118" w:rsidRPr="009B12FF" w:rsidRDefault="00214118" w:rsidP="009A7603">
      <w:pPr>
        <w:jc w:val="both"/>
        <w:rPr>
          <w:rFonts w:ascii="Arial" w:hAnsi="Arial" w:cs="Arial"/>
          <w:color w:val="000000" w:themeColor="text1"/>
          <w:sz w:val="22"/>
          <w:szCs w:val="22"/>
        </w:rPr>
      </w:pPr>
    </w:p>
    <w:p w:rsidR="00214118" w:rsidRPr="009B12FF" w:rsidRDefault="00214118" w:rsidP="009A7603">
      <w:pPr>
        <w:jc w:val="both"/>
        <w:rPr>
          <w:rFonts w:ascii="Arial" w:hAnsi="Arial" w:cs="Arial"/>
          <w:color w:val="000000" w:themeColor="text1"/>
          <w:sz w:val="22"/>
          <w:szCs w:val="22"/>
        </w:rPr>
      </w:pPr>
    </w:p>
    <w:p w:rsidR="00214118" w:rsidRPr="009B12FF" w:rsidRDefault="00214118" w:rsidP="009A7603">
      <w:pPr>
        <w:jc w:val="both"/>
        <w:rPr>
          <w:rFonts w:ascii="Arial" w:hAnsi="Arial" w:cs="Arial"/>
          <w:color w:val="000000" w:themeColor="text1"/>
          <w:sz w:val="22"/>
          <w:szCs w:val="22"/>
        </w:rPr>
      </w:pPr>
    </w:p>
    <w:p w:rsidR="00214118" w:rsidRPr="009B12FF" w:rsidRDefault="00214118" w:rsidP="009A7603">
      <w:pPr>
        <w:jc w:val="both"/>
        <w:rPr>
          <w:rFonts w:ascii="Arial" w:hAnsi="Arial" w:cs="Arial"/>
          <w:color w:val="000000" w:themeColor="text1"/>
          <w:sz w:val="22"/>
          <w:szCs w:val="22"/>
        </w:rPr>
      </w:pPr>
    </w:p>
    <w:p w:rsidR="00214118" w:rsidRPr="009B12FF" w:rsidRDefault="00214118" w:rsidP="009A7603">
      <w:pPr>
        <w:jc w:val="both"/>
        <w:rPr>
          <w:rFonts w:ascii="Arial" w:hAnsi="Arial" w:cs="Arial"/>
          <w:color w:val="000000" w:themeColor="text1"/>
          <w:sz w:val="22"/>
          <w:szCs w:val="22"/>
        </w:rPr>
      </w:pPr>
    </w:p>
    <w:p w:rsidR="00E301E2" w:rsidRPr="009B12FF" w:rsidRDefault="00462EEB" w:rsidP="00462EEB">
      <w:pPr>
        <w:pStyle w:val="Ttulo1"/>
        <w:rPr>
          <w:color w:val="000000" w:themeColor="text1"/>
          <w:sz w:val="22"/>
          <w:szCs w:val="22"/>
        </w:rPr>
      </w:pPr>
      <w:bookmarkStart w:id="0" w:name="_Toc376955551"/>
      <w:r w:rsidRPr="009B12FF">
        <w:rPr>
          <w:color w:val="000000" w:themeColor="text1"/>
          <w:sz w:val="22"/>
          <w:szCs w:val="22"/>
        </w:rPr>
        <w:t>I. Aspectos generales</w:t>
      </w:r>
      <w:bookmarkEnd w:id="0"/>
    </w:p>
    <w:p w:rsidR="00214118" w:rsidRPr="009B12FF" w:rsidRDefault="00214118" w:rsidP="00224C4C">
      <w:pPr>
        <w:pStyle w:val="Ttulo1"/>
        <w:rPr>
          <w:color w:val="000000" w:themeColor="text1"/>
          <w:sz w:val="22"/>
          <w:szCs w:val="22"/>
        </w:rPr>
      </w:pPr>
      <w:bookmarkStart w:id="1" w:name="_Toc346011546"/>
      <w:bookmarkStart w:id="2" w:name="_Toc376955552"/>
      <w:r w:rsidRPr="009B12FF">
        <w:rPr>
          <w:color w:val="000000" w:themeColor="text1"/>
          <w:sz w:val="22"/>
          <w:szCs w:val="22"/>
        </w:rPr>
        <w:t>Introducción</w:t>
      </w:r>
      <w:bookmarkEnd w:id="1"/>
      <w:bookmarkEnd w:id="2"/>
    </w:p>
    <w:p w:rsidR="00214118" w:rsidRPr="009B12FF" w:rsidRDefault="00214118" w:rsidP="009A7603">
      <w:pPr>
        <w:jc w:val="both"/>
        <w:rPr>
          <w:rFonts w:ascii="Arial" w:hAnsi="Arial" w:cs="Arial"/>
          <w:color w:val="000000" w:themeColor="text1"/>
          <w:sz w:val="22"/>
          <w:szCs w:val="22"/>
        </w:rPr>
      </w:pPr>
    </w:p>
    <w:p w:rsidR="00270751" w:rsidRPr="009B12FF" w:rsidRDefault="00326994" w:rsidP="009A7603">
      <w:pPr>
        <w:jc w:val="both"/>
        <w:rPr>
          <w:rFonts w:ascii="Arial" w:hAnsi="Arial" w:cs="Arial"/>
          <w:color w:val="000000" w:themeColor="text1"/>
          <w:sz w:val="22"/>
          <w:szCs w:val="22"/>
        </w:rPr>
      </w:pPr>
      <w:r w:rsidRPr="009B12FF">
        <w:rPr>
          <w:rFonts w:ascii="Arial" w:hAnsi="Arial" w:cs="Arial"/>
          <w:color w:val="000000" w:themeColor="text1"/>
          <w:sz w:val="22"/>
          <w:szCs w:val="22"/>
        </w:rPr>
        <w:t>El presente documento se elabora en atención a al artículo 55 de la Ley de la Administración Financiera de la República y Presupuestos Públicos Nº 8131 y el artículo 74 de su Reglamento, así como en atención a l</w:t>
      </w:r>
      <w:r w:rsidR="00676AFE" w:rsidRPr="009B12FF">
        <w:rPr>
          <w:rFonts w:ascii="Arial" w:hAnsi="Arial" w:cs="Arial"/>
          <w:color w:val="000000" w:themeColor="text1"/>
          <w:sz w:val="22"/>
          <w:szCs w:val="22"/>
        </w:rPr>
        <w:t>a</w:t>
      </w:r>
      <w:r w:rsidRPr="009B12FF">
        <w:rPr>
          <w:rFonts w:ascii="Arial" w:hAnsi="Arial" w:cs="Arial"/>
          <w:color w:val="000000" w:themeColor="text1"/>
          <w:sz w:val="22"/>
          <w:szCs w:val="22"/>
        </w:rPr>
        <w:t xml:space="preserve"> Guía para la elaboración </w:t>
      </w:r>
      <w:r w:rsidR="00270751" w:rsidRPr="009B12FF">
        <w:rPr>
          <w:rFonts w:ascii="Arial" w:hAnsi="Arial" w:cs="Arial"/>
          <w:color w:val="000000" w:themeColor="text1"/>
          <w:sz w:val="22"/>
          <w:szCs w:val="22"/>
        </w:rPr>
        <w:t>del POI para el periodo 2013.</w:t>
      </w:r>
    </w:p>
    <w:p w:rsidR="00270751" w:rsidRPr="009B12FF" w:rsidRDefault="00270751" w:rsidP="009A7603">
      <w:pPr>
        <w:jc w:val="both"/>
        <w:rPr>
          <w:rFonts w:ascii="Arial" w:hAnsi="Arial" w:cs="Arial"/>
          <w:color w:val="000000" w:themeColor="text1"/>
          <w:sz w:val="22"/>
          <w:szCs w:val="22"/>
        </w:rPr>
      </w:pPr>
    </w:p>
    <w:p w:rsidR="004F1FE3" w:rsidRPr="009B12FF" w:rsidRDefault="004F1FE3" w:rsidP="00571CC1">
      <w:pPr>
        <w:jc w:val="both"/>
        <w:rPr>
          <w:rFonts w:ascii="Arial" w:hAnsi="Arial" w:cs="Arial"/>
          <w:color w:val="000000"/>
          <w:sz w:val="22"/>
          <w:szCs w:val="22"/>
          <w:lang w:val="es-CR"/>
        </w:rPr>
      </w:pPr>
      <w:r w:rsidRPr="009B12FF">
        <w:rPr>
          <w:rFonts w:ascii="Arial" w:hAnsi="Arial" w:cs="Arial"/>
          <w:color w:val="000000"/>
          <w:sz w:val="22"/>
          <w:szCs w:val="22"/>
          <w:lang w:val="es-CR"/>
        </w:rPr>
        <w:t>Informar a la Junta Directiva del cumplimiento de los indicadores propuestos en atención a los productos institucionales que se dirigen a la ciudadanía y los cuales se constituyen en un compromiso con los usuarios y beneficiarios de la Institución, definidos en la Misión y Visón de los resultados encontrados, la aplicación de los Lineamientos Técnicos  y Metodológicos emitidos por el Ministerio De Planificación Nacional Y Política Económica.</w:t>
      </w:r>
    </w:p>
    <w:p w:rsidR="004F1FE3" w:rsidRPr="009B12FF" w:rsidRDefault="004F1FE3" w:rsidP="00571CC1">
      <w:pPr>
        <w:jc w:val="both"/>
        <w:rPr>
          <w:rFonts w:ascii="Arial" w:hAnsi="Arial" w:cs="Arial"/>
          <w:color w:val="000000" w:themeColor="text1"/>
          <w:sz w:val="22"/>
          <w:szCs w:val="22"/>
        </w:rPr>
      </w:pPr>
    </w:p>
    <w:p w:rsidR="00326994" w:rsidRPr="009B12FF" w:rsidRDefault="00326994" w:rsidP="00571CC1">
      <w:pPr>
        <w:jc w:val="both"/>
        <w:rPr>
          <w:rFonts w:ascii="Arial" w:hAnsi="Arial" w:cs="Arial"/>
          <w:color w:val="000000" w:themeColor="text1"/>
          <w:sz w:val="22"/>
          <w:szCs w:val="22"/>
        </w:rPr>
      </w:pPr>
      <w:r w:rsidRPr="009B12FF">
        <w:rPr>
          <w:rFonts w:ascii="Arial" w:hAnsi="Arial" w:cs="Arial"/>
          <w:color w:val="000000" w:themeColor="text1"/>
          <w:sz w:val="22"/>
          <w:szCs w:val="22"/>
        </w:rPr>
        <w:t xml:space="preserve">En lo que respecta a la Misión y Visión </w:t>
      </w:r>
      <w:r w:rsidR="00D800E9" w:rsidRPr="009B12FF">
        <w:rPr>
          <w:rFonts w:ascii="Arial" w:hAnsi="Arial" w:cs="Arial"/>
          <w:color w:val="000000" w:themeColor="text1"/>
          <w:sz w:val="22"/>
          <w:szCs w:val="22"/>
        </w:rPr>
        <w:t xml:space="preserve">y la base legal </w:t>
      </w:r>
      <w:r w:rsidRPr="009B12FF">
        <w:rPr>
          <w:rFonts w:ascii="Arial" w:hAnsi="Arial" w:cs="Arial"/>
          <w:color w:val="000000" w:themeColor="text1"/>
          <w:sz w:val="22"/>
          <w:szCs w:val="22"/>
        </w:rPr>
        <w:t xml:space="preserve">no han sufrido cambios, se mantienen las prioridades institucionales y los objetivos estratégicos </w:t>
      </w:r>
      <w:r w:rsidR="00773269" w:rsidRPr="009B12FF">
        <w:rPr>
          <w:rFonts w:ascii="Arial" w:hAnsi="Arial" w:cs="Arial"/>
          <w:color w:val="000000" w:themeColor="text1"/>
          <w:sz w:val="22"/>
          <w:szCs w:val="22"/>
        </w:rPr>
        <w:t>remitidos</w:t>
      </w:r>
      <w:r w:rsidR="00BF4ABF" w:rsidRPr="009B12FF">
        <w:rPr>
          <w:rFonts w:ascii="Arial" w:hAnsi="Arial" w:cs="Arial"/>
          <w:color w:val="000000" w:themeColor="text1"/>
          <w:sz w:val="22"/>
          <w:szCs w:val="22"/>
        </w:rPr>
        <w:t xml:space="preserve"> en la última versión, </w:t>
      </w:r>
      <w:r w:rsidRPr="009B12FF">
        <w:rPr>
          <w:rFonts w:ascii="Arial" w:hAnsi="Arial" w:cs="Arial"/>
          <w:color w:val="000000" w:themeColor="text1"/>
          <w:sz w:val="22"/>
          <w:szCs w:val="22"/>
        </w:rPr>
        <w:t xml:space="preserve">que constituyen el marco global del proceso de evaluación de la gestión </w:t>
      </w:r>
      <w:r w:rsidR="001E2756" w:rsidRPr="009B12FF">
        <w:rPr>
          <w:rFonts w:ascii="Arial" w:hAnsi="Arial" w:cs="Arial"/>
          <w:color w:val="000000" w:themeColor="text1"/>
          <w:sz w:val="22"/>
          <w:szCs w:val="22"/>
        </w:rPr>
        <w:t>realizada del periodo 201</w:t>
      </w:r>
      <w:r w:rsidR="008C25E4" w:rsidRPr="009B12FF">
        <w:rPr>
          <w:rFonts w:ascii="Arial" w:hAnsi="Arial" w:cs="Arial"/>
          <w:color w:val="000000" w:themeColor="text1"/>
          <w:sz w:val="22"/>
          <w:szCs w:val="22"/>
        </w:rPr>
        <w:t>3</w:t>
      </w:r>
      <w:r w:rsidR="001E2756" w:rsidRPr="009B12FF">
        <w:rPr>
          <w:rFonts w:ascii="Arial" w:hAnsi="Arial" w:cs="Arial"/>
          <w:color w:val="000000" w:themeColor="text1"/>
          <w:sz w:val="22"/>
          <w:szCs w:val="22"/>
        </w:rPr>
        <w:t>.</w:t>
      </w:r>
    </w:p>
    <w:p w:rsidR="00676AFE" w:rsidRPr="009B12FF" w:rsidRDefault="00676AFE" w:rsidP="00571CC1">
      <w:pPr>
        <w:pStyle w:val="Textoindependiente"/>
        <w:jc w:val="both"/>
        <w:rPr>
          <w:rFonts w:cs="Arial"/>
          <w:b/>
          <w:color w:val="000000" w:themeColor="text1"/>
          <w:sz w:val="22"/>
          <w:szCs w:val="22"/>
          <w:lang w:val="es-ES"/>
        </w:rPr>
      </w:pPr>
    </w:p>
    <w:p w:rsidR="006E2F6B" w:rsidRPr="009B12FF" w:rsidRDefault="006E2F6B" w:rsidP="00571CC1">
      <w:pPr>
        <w:jc w:val="both"/>
        <w:rPr>
          <w:rFonts w:ascii="Arial" w:hAnsi="Arial" w:cs="Arial"/>
          <w:color w:val="000000"/>
          <w:sz w:val="22"/>
          <w:szCs w:val="22"/>
        </w:rPr>
      </w:pPr>
      <w:r w:rsidRPr="009B12FF">
        <w:rPr>
          <w:rFonts w:ascii="Arial" w:hAnsi="Arial" w:cs="Arial"/>
          <w:color w:val="000000"/>
          <w:sz w:val="22"/>
          <w:szCs w:val="22"/>
        </w:rPr>
        <w:t xml:space="preserve">La institución tomó como base para el análisis la última versión del POI, que presenta variaciones respecto al inicial, a partir de los efectos del Presupuesto Extraordinario Nº 02-2013, aprobada en JD-557 del 26 de setiembre de 2013, </w:t>
      </w:r>
      <w:r w:rsidR="00B860A1" w:rsidRPr="009B12FF">
        <w:rPr>
          <w:rFonts w:ascii="Arial" w:hAnsi="Arial" w:cs="Arial"/>
          <w:color w:val="000000"/>
          <w:sz w:val="22"/>
          <w:szCs w:val="22"/>
        </w:rPr>
        <w:t>artículo I), inciso b)</w:t>
      </w:r>
      <w:r w:rsidR="00393501" w:rsidRPr="009B12FF">
        <w:rPr>
          <w:rFonts w:ascii="Arial" w:hAnsi="Arial" w:cs="Arial"/>
          <w:color w:val="000000"/>
          <w:sz w:val="22"/>
          <w:szCs w:val="22"/>
        </w:rPr>
        <w:t xml:space="preserve"> de la</w:t>
      </w:r>
      <w:r w:rsidR="00393501" w:rsidRPr="009B12FF">
        <w:rPr>
          <w:rFonts w:ascii="Bookman Old Style" w:hAnsi="Bookman Old Style" w:cs="Calibri"/>
          <w:sz w:val="20"/>
          <w:szCs w:val="20"/>
        </w:rPr>
        <w:t xml:space="preserve"> </w:t>
      </w:r>
      <w:r w:rsidR="00393501" w:rsidRPr="009B12FF">
        <w:rPr>
          <w:rFonts w:ascii="Arial" w:hAnsi="Arial" w:cs="Arial"/>
          <w:color w:val="000000"/>
          <w:sz w:val="22"/>
          <w:szCs w:val="22"/>
        </w:rPr>
        <w:t xml:space="preserve">sesión extraordinaria N°17-2013, </w:t>
      </w:r>
      <w:r w:rsidRPr="009B12FF">
        <w:rPr>
          <w:rFonts w:ascii="Arial" w:hAnsi="Arial" w:cs="Arial"/>
          <w:color w:val="000000"/>
          <w:sz w:val="22"/>
          <w:szCs w:val="22"/>
        </w:rPr>
        <w:t xml:space="preserve">que </w:t>
      </w:r>
      <w:r w:rsidR="003133E3" w:rsidRPr="009B12FF">
        <w:rPr>
          <w:rFonts w:ascii="Arial" w:hAnsi="Arial" w:cs="Arial"/>
          <w:color w:val="000000"/>
          <w:sz w:val="22"/>
          <w:szCs w:val="22"/>
        </w:rPr>
        <w:t>ajustó l</w:t>
      </w:r>
      <w:r w:rsidRPr="009B12FF">
        <w:rPr>
          <w:rFonts w:ascii="Arial" w:hAnsi="Arial" w:cs="Arial"/>
          <w:color w:val="000000"/>
          <w:sz w:val="22"/>
          <w:szCs w:val="22"/>
        </w:rPr>
        <w:t xml:space="preserve">as metas </w:t>
      </w:r>
      <w:r w:rsidR="003133E3" w:rsidRPr="009B12FF">
        <w:rPr>
          <w:rFonts w:ascii="Arial" w:hAnsi="Arial" w:cs="Arial"/>
          <w:color w:val="000000"/>
          <w:sz w:val="22"/>
          <w:szCs w:val="22"/>
        </w:rPr>
        <w:t xml:space="preserve">del PAO y PAO para este período, así como que </w:t>
      </w:r>
      <w:r w:rsidR="00DA0486" w:rsidRPr="009B12FF">
        <w:rPr>
          <w:rFonts w:ascii="Arial" w:hAnsi="Arial" w:cs="Arial"/>
          <w:color w:val="000000"/>
          <w:sz w:val="22"/>
          <w:szCs w:val="22"/>
        </w:rPr>
        <w:t>aprobó el traslado de los indicadores sobre las utilidades del Programa No. 01 al Programa No. 02 a partir de octubre de 2013</w:t>
      </w:r>
      <w:r w:rsidRPr="009B12FF">
        <w:rPr>
          <w:rFonts w:ascii="Arial" w:hAnsi="Arial" w:cs="Arial"/>
          <w:color w:val="000000"/>
          <w:sz w:val="22"/>
          <w:szCs w:val="22"/>
        </w:rPr>
        <w:t>.</w:t>
      </w:r>
    </w:p>
    <w:p w:rsidR="006E2F6B" w:rsidRPr="009B12FF" w:rsidRDefault="006E2F6B" w:rsidP="004E5EE2">
      <w:pPr>
        <w:pStyle w:val="Textoindependiente"/>
        <w:jc w:val="both"/>
        <w:rPr>
          <w:rFonts w:cs="Arial"/>
          <w:b/>
          <w:color w:val="000000" w:themeColor="text1"/>
          <w:sz w:val="22"/>
          <w:szCs w:val="22"/>
          <w:lang w:val="es-ES"/>
        </w:rPr>
      </w:pPr>
    </w:p>
    <w:p w:rsidR="00527C5D" w:rsidRPr="009B12FF" w:rsidRDefault="00527C5D" w:rsidP="004E5EE2">
      <w:pPr>
        <w:pStyle w:val="Ttulo1"/>
        <w:rPr>
          <w:color w:val="000000" w:themeColor="text1"/>
          <w:sz w:val="22"/>
          <w:szCs w:val="22"/>
        </w:rPr>
      </w:pPr>
      <w:bookmarkStart w:id="3" w:name="_Toc376955553"/>
      <w:r w:rsidRPr="009B12FF">
        <w:rPr>
          <w:color w:val="000000" w:themeColor="text1"/>
          <w:sz w:val="22"/>
          <w:szCs w:val="22"/>
        </w:rPr>
        <w:t xml:space="preserve">II. </w:t>
      </w:r>
      <w:r w:rsidR="00462EEB" w:rsidRPr="009B12FF">
        <w:rPr>
          <w:color w:val="000000" w:themeColor="text1"/>
          <w:sz w:val="22"/>
          <w:szCs w:val="22"/>
        </w:rPr>
        <w:t>Criterios de valoración aplicados para calificar el cumplimiento de las metas</w:t>
      </w:r>
      <w:bookmarkEnd w:id="3"/>
    </w:p>
    <w:p w:rsidR="00326994" w:rsidRPr="009B12FF" w:rsidRDefault="00326994" w:rsidP="004E5EE2">
      <w:pPr>
        <w:pStyle w:val="Textoindependiente"/>
        <w:jc w:val="both"/>
        <w:rPr>
          <w:rFonts w:cs="Arial"/>
          <w:b/>
          <w:color w:val="000000" w:themeColor="text1"/>
          <w:sz w:val="22"/>
          <w:szCs w:val="22"/>
          <w:lang w:val="es-ES"/>
        </w:rPr>
      </w:pPr>
    </w:p>
    <w:p w:rsidR="005228D3" w:rsidRPr="009B12FF" w:rsidRDefault="00326994" w:rsidP="004E5EE2">
      <w:pPr>
        <w:pStyle w:val="Textoindependiente"/>
        <w:jc w:val="both"/>
        <w:rPr>
          <w:rFonts w:cs="Arial"/>
          <w:color w:val="000000" w:themeColor="text1"/>
          <w:sz w:val="22"/>
          <w:szCs w:val="22"/>
        </w:rPr>
      </w:pPr>
      <w:r w:rsidRPr="009B12FF">
        <w:rPr>
          <w:rFonts w:cs="Arial"/>
          <w:color w:val="000000" w:themeColor="text1"/>
          <w:sz w:val="22"/>
          <w:szCs w:val="22"/>
        </w:rPr>
        <w:t xml:space="preserve">Para calificar el </w:t>
      </w:r>
      <w:r w:rsidR="00ED4314" w:rsidRPr="009B12FF">
        <w:rPr>
          <w:rFonts w:cs="Arial"/>
          <w:color w:val="000000" w:themeColor="text1"/>
          <w:sz w:val="22"/>
          <w:szCs w:val="22"/>
        </w:rPr>
        <w:t>cumplimiento</w:t>
      </w:r>
      <w:r w:rsidRPr="009B12FF">
        <w:rPr>
          <w:rFonts w:cs="Arial"/>
          <w:color w:val="000000" w:themeColor="text1"/>
          <w:sz w:val="22"/>
          <w:szCs w:val="22"/>
        </w:rPr>
        <w:t xml:space="preserve"> de las metas se toman los aspectos de </w:t>
      </w:r>
      <w:r w:rsidR="00ED4314" w:rsidRPr="009B12FF">
        <w:rPr>
          <w:rFonts w:cs="Arial"/>
          <w:color w:val="000000" w:themeColor="text1"/>
          <w:sz w:val="22"/>
          <w:szCs w:val="22"/>
        </w:rPr>
        <w:t>los Lineamientos Técnicos y Metodológicos en donde se establecen los porcentajes de evaluación, según los siguientes rangos:</w:t>
      </w:r>
    </w:p>
    <w:p w:rsidR="00ED4314" w:rsidRPr="009B12FF" w:rsidRDefault="00ED4314" w:rsidP="004E5EE2">
      <w:pPr>
        <w:pStyle w:val="Textoindependiente"/>
        <w:jc w:val="both"/>
        <w:rPr>
          <w:rFonts w:cs="Arial"/>
          <w:color w:val="000000" w:themeColor="text1"/>
          <w:sz w:val="22"/>
          <w:szCs w:val="22"/>
        </w:rPr>
      </w:pPr>
    </w:p>
    <w:tbl>
      <w:tblPr>
        <w:tblW w:w="4900" w:type="dxa"/>
        <w:jc w:val="center"/>
        <w:tblCellMar>
          <w:left w:w="70" w:type="dxa"/>
          <w:right w:w="70" w:type="dxa"/>
        </w:tblCellMar>
        <w:tblLook w:val="04A0" w:firstRow="1" w:lastRow="0" w:firstColumn="1" w:lastColumn="0" w:noHBand="0" w:noVBand="1"/>
      </w:tblPr>
      <w:tblGrid>
        <w:gridCol w:w="4900"/>
      </w:tblGrid>
      <w:tr w:rsidR="00ED4314" w:rsidRPr="009B12FF" w:rsidTr="00270751">
        <w:trPr>
          <w:trHeight w:val="300"/>
          <w:jc w:val="center"/>
        </w:trPr>
        <w:tc>
          <w:tcPr>
            <w:tcW w:w="4900" w:type="dxa"/>
            <w:tcBorders>
              <w:top w:val="nil"/>
              <w:left w:val="nil"/>
              <w:bottom w:val="nil"/>
              <w:right w:val="nil"/>
            </w:tcBorders>
            <w:shd w:val="clear" w:color="auto" w:fill="auto"/>
            <w:noWrap/>
            <w:vAlign w:val="bottom"/>
            <w:hideMark/>
          </w:tcPr>
          <w:p w:rsidR="00ED4314" w:rsidRPr="009B12FF" w:rsidRDefault="00ED4314" w:rsidP="004E5EE2">
            <w:pPr>
              <w:rPr>
                <w:rFonts w:ascii="Arial" w:eastAsia="Times New Roman" w:hAnsi="Arial" w:cs="Arial"/>
                <w:color w:val="000000" w:themeColor="text1"/>
                <w:sz w:val="22"/>
                <w:szCs w:val="22"/>
              </w:rPr>
            </w:pPr>
            <w:r w:rsidRPr="009B12FF">
              <w:rPr>
                <w:rFonts w:ascii="Arial" w:eastAsia="Times New Roman" w:hAnsi="Arial" w:cs="Arial"/>
                <w:color w:val="000000" w:themeColor="text1"/>
                <w:sz w:val="22"/>
                <w:szCs w:val="22"/>
              </w:rPr>
              <w:t>Meta cumplida (MC) = 100 %</w:t>
            </w:r>
          </w:p>
        </w:tc>
      </w:tr>
      <w:tr w:rsidR="00ED4314" w:rsidRPr="009B12FF" w:rsidTr="00270751">
        <w:trPr>
          <w:trHeight w:val="300"/>
          <w:jc w:val="center"/>
        </w:trPr>
        <w:tc>
          <w:tcPr>
            <w:tcW w:w="4900" w:type="dxa"/>
            <w:tcBorders>
              <w:top w:val="nil"/>
              <w:left w:val="nil"/>
              <w:bottom w:val="nil"/>
              <w:right w:val="nil"/>
            </w:tcBorders>
            <w:shd w:val="clear" w:color="auto" w:fill="auto"/>
            <w:noWrap/>
            <w:vAlign w:val="bottom"/>
            <w:hideMark/>
          </w:tcPr>
          <w:p w:rsidR="00ED4314" w:rsidRPr="009B12FF" w:rsidRDefault="00ED4314" w:rsidP="004E5EE2">
            <w:pPr>
              <w:rPr>
                <w:rFonts w:ascii="Arial" w:eastAsia="Times New Roman" w:hAnsi="Arial" w:cs="Arial"/>
                <w:color w:val="000000" w:themeColor="text1"/>
                <w:sz w:val="22"/>
                <w:szCs w:val="22"/>
              </w:rPr>
            </w:pPr>
            <w:r w:rsidRPr="009B12FF">
              <w:rPr>
                <w:rFonts w:ascii="Arial" w:eastAsia="Times New Roman" w:hAnsi="Arial" w:cs="Arial"/>
                <w:color w:val="000000" w:themeColor="text1"/>
                <w:sz w:val="22"/>
                <w:szCs w:val="22"/>
              </w:rPr>
              <w:t>Meta parcialmente cumplida (MPC) = 99%-81%</w:t>
            </w:r>
          </w:p>
        </w:tc>
      </w:tr>
      <w:tr w:rsidR="00ED4314" w:rsidRPr="009B12FF" w:rsidTr="00270751">
        <w:trPr>
          <w:trHeight w:val="300"/>
          <w:jc w:val="center"/>
        </w:trPr>
        <w:tc>
          <w:tcPr>
            <w:tcW w:w="4900" w:type="dxa"/>
            <w:tcBorders>
              <w:top w:val="nil"/>
              <w:left w:val="nil"/>
              <w:bottom w:val="nil"/>
              <w:right w:val="nil"/>
            </w:tcBorders>
            <w:shd w:val="clear" w:color="auto" w:fill="auto"/>
            <w:noWrap/>
            <w:vAlign w:val="bottom"/>
            <w:hideMark/>
          </w:tcPr>
          <w:p w:rsidR="00ED4314" w:rsidRPr="009B12FF" w:rsidRDefault="00ED4314" w:rsidP="004E5EE2">
            <w:pPr>
              <w:rPr>
                <w:rFonts w:ascii="Arial" w:eastAsia="Times New Roman" w:hAnsi="Arial" w:cs="Arial"/>
                <w:color w:val="000000" w:themeColor="text1"/>
                <w:sz w:val="22"/>
                <w:szCs w:val="22"/>
              </w:rPr>
            </w:pPr>
            <w:r w:rsidRPr="009B12FF">
              <w:rPr>
                <w:rFonts w:ascii="Arial" w:eastAsia="Times New Roman" w:hAnsi="Arial" w:cs="Arial"/>
                <w:color w:val="000000" w:themeColor="text1"/>
                <w:sz w:val="22"/>
                <w:szCs w:val="22"/>
              </w:rPr>
              <w:t>Meta Regular (MR) = 80%-71%</w:t>
            </w:r>
          </w:p>
        </w:tc>
      </w:tr>
      <w:tr w:rsidR="00ED4314" w:rsidRPr="009B12FF" w:rsidTr="00270751">
        <w:trPr>
          <w:trHeight w:val="300"/>
          <w:jc w:val="center"/>
        </w:trPr>
        <w:tc>
          <w:tcPr>
            <w:tcW w:w="4900" w:type="dxa"/>
            <w:tcBorders>
              <w:top w:val="nil"/>
              <w:left w:val="nil"/>
              <w:bottom w:val="nil"/>
              <w:right w:val="nil"/>
            </w:tcBorders>
            <w:shd w:val="clear" w:color="auto" w:fill="auto"/>
            <w:noWrap/>
            <w:vAlign w:val="bottom"/>
            <w:hideMark/>
          </w:tcPr>
          <w:p w:rsidR="00ED4314" w:rsidRPr="009B12FF" w:rsidRDefault="00ED4314" w:rsidP="004E5EE2">
            <w:pPr>
              <w:rPr>
                <w:rFonts w:ascii="Arial" w:eastAsia="Times New Roman" w:hAnsi="Arial" w:cs="Arial"/>
                <w:color w:val="000000" w:themeColor="text1"/>
                <w:sz w:val="22"/>
                <w:szCs w:val="22"/>
              </w:rPr>
            </w:pPr>
            <w:r w:rsidRPr="009B12FF">
              <w:rPr>
                <w:rFonts w:ascii="Arial" w:eastAsia="Times New Roman" w:hAnsi="Arial" w:cs="Arial"/>
                <w:color w:val="000000" w:themeColor="text1"/>
                <w:sz w:val="22"/>
                <w:szCs w:val="22"/>
              </w:rPr>
              <w:t>Meta Insuficiente (MI)= 70%-1%</w:t>
            </w:r>
          </w:p>
        </w:tc>
      </w:tr>
      <w:tr w:rsidR="00ED4314" w:rsidRPr="009B12FF" w:rsidTr="00270751">
        <w:trPr>
          <w:trHeight w:val="300"/>
          <w:jc w:val="center"/>
        </w:trPr>
        <w:tc>
          <w:tcPr>
            <w:tcW w:w="4900" w:type="dxa"/>
            <w:tcBorders>
              <w:top w:val="nil"/>
              <w:left w:val="nil"/>
              <w:bottom w:val="nil"/>
              <w:right w:val="nil"/>
            </w:tcBorders>
            <w:shd w:val="clear" w:color="auto" w:fill="auto"/>
            <w:noWrap/>
            <w:vAlign w:val="bottom"/>
            <w:hideMark/>
          </w:tcPr>
          <w:p w:rsidR="00ED4314" w:rsidRPr="009B12FF" w:rsidRDefault="00ED4314" w:rsidP="004E5EE2">
            <w:pPr>
              <w:rPr>
                <w:rFonts w:ascii="Arial" w:eastAsia="Times New Roman" w:hAnsi="Arial" w:cs="Arial"/>
                <w:color w:val="000000" w:themeColor="text1"/>
                <w:sz w:val="22"/>
                <w:szCs w:val="22"/>
              </w:rPr>
            </w:pPr>
            <w:r w:rsidRPr="009B12FF">
              <w:rPr>
                <w:rFonts w:ascii="Arial" w:eastAsia="Times New Roman" w:hAnsi="Arial" w:cs="Arial"/>
                <w:color w:val="000000" w:themeColor="text1"/>
                <w:sz w:val="22"/>
                <w:szCs w:val="22"/>
              </w:rPr>
              <w:t>Meta No cumplida (MNC)= 0%</w:t>
            </w:r>
          </w:p>
        </w:tc>
      </w:tr>
    </w:tbl>
    <w:p w:rsidR="005A63BC" w:rsidRPr="009B12FF" w:rsidRDefault="005A63BC" w:rsidP="004E5EE2">
      <w:pPr>
        <w:pStyle w:val="Textoindependiente"/>
        <w:jc w:val="both"/>
        <w:rPr>
          <w:rFonts w:cs="Arial"/>
          <w:b/>
          <w:color w:val="000000" w:themeColor="text1"/>
          <w:sz w:val="22"/>
          <w:szCs w:val="22"/>
          <w:lang w:val="es-ES"/>
        </w:rPr>
      </w:pPr>
    </w:p>
    <w:p w:rsidR="00326994" w:rsidRPr="009B12FF" w:rsidRDefault="00462EEB" w:rsidP="004E5EE2">
      <w:pPr>
        <w:pStyle w:val="Textoindependiente"/>
        <w:numPr>
          <w:ilvl w:val="0"/>
          <w:numId w:val="10"/>
        </w:numPr>
        <w:jc w:val="both"/>
        <w:outlineLvl w:val="0"/>
        <w:rPr>
          <w:rFonts w:cs="Arial"/>
          <w:b/>
          <w:color w:val="000000" w:themeColor="text1"/>
          <w:sz w:val="22"/>
          <w:szCs w:val="22"/>
        </w:rPr>
      </w:pPr>
      <w:bookmarkStart w:id="4" w:name="_Toc376955554"/>
      <w:r w:rsidRPr="009B12FF">
        <w:rPr>
          <w:rFonts w:cs="Arial"/>
          <w:b/>
          <w:color w:val="000000" w:themeColor="text1"/>
          <w:sz w:val="22"/>
          <w:szCs w:val="22"/>
        </w:rPr>
        <w:t>Seguimiento de metas anuales de los programas sustantivos</w:t>
      </w:r>
      <w:bookmarkEnd w:id="4"/>
    </w:p>
    <w:p w:rsidR="00326994" w:rsidRPr="009B12FF" w:rsidRDefault="00326994" w:rsidP="004E5EE2">
      <w:pPr>
        <w:tabs>
          <w:tab w:val="left" w:pos="142"/>
        </w:tabs>
        <w:jc w:val="both"/>
        <w:rPr>
          <w:rFonts w:ascii="Arial" w:hAnsi="Arial" w:cs="Arial"/>
          <w:b/>
          <w:bCs/>
          <w:color w:val="000000" w:themeColor="text1"/>
          <w:sz w:val="22"/>
          <w:szCs w:val="22"/>
        </w:rPr>
      </w:pPr>
    </w:p>
    <w:p w:rsidR="00414094" w:rsidRPr="009B12FF" w:rsidRDefault="00EA447A" w:rsidP="004E5EE2">
      <w:pPr>
        <w:pStyle w:val="Prrafodelista"/>
        <w:numPr>
          <w:ilvl w:val="0"/>
          <w:numId w:val="37"/>
        </w:numPr>
        <w:tabs>
          <w:tab w:val="left" w:pos="142"/>
        </w:tabs>
        <w:spacing w:line="240" w:lineRule="auto"/>
        <w:jc w:val="both"/>
        <w:rPr>
          <w:rFonts w:ascii="Arial" w:hAnsi="Arial" w:cs="Arial"/>
          <w:b/>
          <w:bCs/>
          <w:color w:val="000000" w:themeColor="text1"/>
        </w:rPr>
      </w:pPr>
      <w:r w:rsidRPr="009B12FF">
        <w:rPr>
          <w:rFonts w:ascii="Arial" w:hAnsi="Arial" w:cs="Arial"/>
          <w:b/>
          <w:bCs/>
          <w:color w:val="000000" w:themeColor="text1"/>
        </w:rPr>
        <w:t xml:space="preserve">Matriz de resultados por Programa  </w:t>
      </w:r>
      <w:r w:rsidR="00326994" w:rsidRPr="009B12FF">
        <w:rPr>
          <w:rFonts w:ascii="Arial" w:hAnsi="Arial" w:cs="Arial"/>
          <w:b/>
          <w:bCs/>
          <w:color w:val="000000" w:themeColor="text1"/>
        </w:rPr>
        <w:t>(MRP)</w:t>
      </w:r>
    </w:p>
    <w:p w:rsidR="00255472" w:rsidRPr="009B12FF" w:rsidRDefault="00414094" w:rsidP="004E5EE2">
      <w:pPr>
        <w:tabs>
          <w:tab w:val="left" w:pos="142"/>
        </w:tabs>
        <w:jc w:val="both"/>
        <w:rPr>
          <w:rFonts w:ascii="Arial" w:hAnsi="Arial" w:cs="Arial"/>
          <w:b/>
          <w:bCs/>
          <w:color w:val="000000" w:themeColor="text1"/>
          <w:sz w:val="22"/>
          <w:szCs w:val="22"/>
        </w:rPr>
      </w:pPr>
      <w:r w:rsidRPr="009B12FF">
        <w:rPr>
          <w:rFonts w:ascii="Arial" w:hAnsi="Arial" w:cs="Arial"/>
          <w:b/>
          <w:bCs/>
          <w:color w:val="000000" w:themeColor="text1"/>
          <w:sz w:val="22"/>
          <w:szCs w:val="22"/>
        </w:rPr>
        <w:t>Ver anexo</w:t>
      </w:r>
      <w:r w:rsidR="00326994" w:rsidRPr="009B12FF">
        <w:rPr>
          <w:rFonts w:ascii="Arial" w:hAnsi="Arial" w:cs="Arial"/>
          <w:b/>
          <w:bCs/>
          <w:color w:val="000000" w:themeColor="text1"/>
          <w:sz w:val="22"/>
          <w:szCs w:val="22"/>
        </w:rPr>
        <w:t xml:space="preserve"> 1</w:t>
      </w:r>
    </w:p>
    <w:p w:rsidR="00224C4C" w:rsidRPr="009B12FF" w:rsidRDefault="00224C4C" w:rsidP="004E5EE2">
      <w:pPr>
        <w:tabs>
          <w:tab w:val="left" w:pos="142"/>
        </w:tabs>
        <w:jc w:val="both"/>
        <w:rPr>
          <w:rFonts w:ascii="Arial" w:hAnsi="Arial" w:cs="Arial"/>
          <w:b/>
          <w:bCs/>
          <w:color w:val="000000" w:themeColor="text1"/>
          <w:sz w:val="22"/>
          <w:szCs w:val="22"/>
        </w:rPr>
      </w:pPr>
    </w:p>
    <w:p w:rsidR="00414094" w:rsidRDefault="00414094" w:rsidP="004E5EE2">
      <w:pPr>
        <w:tabs>
          <w:tab w:val="left" w:pos="142"/>
        </w:tabs>
        <w:ind w:left="360"/>
        <w:jc w:val="both"/>
        <w:rPr>
          <w:rFonts w:ascii="Arial" w:hAnsi="Arial" w:cs="Arial"/>
          <w:b/>
          <w:bCs/>
          <w:color w:val="000000" w:themeColor="text1"/>
          <w:sz w:val="22"/>
          <w:szCs w:val="22"/>
        </w:rPr>
      </w:pPr>
    </w:p>
    <w:p w:rsidR="006142EF" w:rsidRDefault="006142EF" w:rsidP="004E5EE2">
      <w:pPr>
        <w:tabs>
          <w:tab w:val="left" w:pos="142"/>
        </w:tabs>
        <w:ind w:left="360"/>
        <w:jc w:val="both"/>
        <w:rPr>
          <w:rFonts w:ascii="Arial" w:hAnsi="Arial" w:cs="Arial"/>
          <w:b/>
          <w:bCs/>
          <w:color w:val="000000" w:themeColor="text1"/>
          <w:sz w:val="22"/>
          <w:szCs w:val="22"/>
        </w:rPr>
      </w:pPr>
    </w:p>
    <w:p w:rsidR="006142EF" w:rsidRPr="009B12FF" w:rsidRDefault="006142EF" w:rsidP="004E5EE2">
      <w:pPr>
        <w:tabs>
          <w:tab w:val="left" w:pos="142"/>
        </w:tabs>
        <w:ind w:left="360"/>
        <w:jc w:val="both"/>
        <w:rPr>
          <w:rFonts w:ascii="Arial" w:hAnsi="Arial" w:cs="Arial"/>
          <w:b/>
          <w:bCs/>
          <w:color w:val="000000" w:themeColor="text1"/>
          <w:sz w:val="22"/>
          <w:szCs w:val="22"/>
        </w:rPr>
      </w:pPr>
    </w:p>
    <w:p w:rsidR="00F73A50" w:rsidRPr="009B12FF" w:rsidRDefault="00EA447A" w:rsidP="00EA447A">
      <w:pPr>
        <w:pStyle w:val="Prrafodelista"/>
        <w:numPr>
          <w:ilvl w:val="0"/>
          <w:numId w:val="37"/>
        </w:numPr>
        <w:rPr>
          <w:rFonts w:ascii="Arial" w:hAnsi="Arial" w:cs="Arial"/>
          <w:b/>
          <w:color w:val="000000" w:themeColor="text1"/>
        </w:rPr>
      </w:pPr>
      <w:r w:rsidRPr="009B12FF">
        <w:rPr>
          <w:rFonts w:ascii="Arial" w:hAnsi="Arial" w:cs="Arial"/>
          <w:b/>
          <w:color w:val="000000" w:themeColor="text1"/>
        </w:rPr>
        <w:t>Categoría de valoración obtenida para cada meta.</w:t>
      </w:r>
    </w:p>
    <w:p w:rsidR="00B76EC0" w:rsidRPr="009B12FF" w:rsidRDefault="00B76EC0" w:rsidP="00560485">
      <w:pPr>
        <w:pStyle w:val="Ttulo2"/>
        <w:ind w:firstLine="708"/>
        <w:jc w:val="center"/>
        <w:rPr>
          <w:rFonts w:ascii="Arial" w:hAnsi="Arial" w:cs="Arial"/>
          <w:iCs/>
          <w:color w:val="000000" w:themeColor="text1"/>
          <w:sz w:val="22"/>
          <w:szCs w:val="22"/>
        </w:rPr>
      </w:pPr>
      <w:bookmarkStart w:id="5" w:name="_Toc346011455"/>
      <w:bookmarkStart w:id="6" w:name="_Toc376955555"/>
      <w:r w:rsidRPr="009B12FF">
        <w:rPr>
          <w:rFonts w:ascii="Arial" w:hAnsi="Arial" w:cs="Arial"/>
          <w:iCs/>
          <w:color w:val="000000" w:themeColor="text1"/>
          <w:sz w:val="22"/>
          <w:szCs w:val="22"/>
        </w:rPr>
        <w:t>Programa 1 Actividades Centrales (</w:t>
      </w:r>
      <w:r w:rsidR="00EB77DC" w:rsidRPr="009B12FF">
        <w:rPr>
          <w:rFonts w:ascii="Arial" w:hAnsi="Arial" w:cs="Arial"/>
          <w:iCs/>
          <w:color w:val="000000" w:themeColor="text1"/>
          <w:sz w:val="22"/>
          <w:szCs w:val="22"/>
        </w:rPr>
        <w:t>Gerencia</w:t>
      </w:r>
      <w:r w:rsidR="00853C24" w:rsidRPr="009B12FF">
        <w:rPr>
          <w:rFonts w:ascii="Arial" w:hAnsi="Arial" w:cs="Arial"/>
          <w:iCs/>
          <w:color w:val="000000" w:themeColor="text1"/>
          <w:sz w:val="22"/>
          <w:szCs w:val="22"/>
        </w:rPr>
        <w:t xml:space="preserve"> </w:t>
      </w:r>
      <w:r w:rsidR="00EB77DC" w:rsidRPr="009B12FF">
        <w:rPr>
          <w:rFonts w:ascii="Arial" w:hAnsi="Arial" w:cs="Arial"/>
          <w:iCs/>
          <w:color w:val="000000" w:themeColor="text1"/>
          <w:sz w:val="22"/>
          <w:szCs w:val="22"/>
        </w:rPr>
        <w:t>Administrativa Financiera</w:t>
      </w:r>
      <w:r w:rsidRPr="009B12FF">
        <w:rPr>
          <w:rFonts w:ascii="Arial" w:hAnsi="Arial" w:cs="Arial"/>
          <w:iCs/>
          <w:color w:val="000000" w:themeColor="text1"/>
          <w:sz w:val="22"/>
          <w:szCs w:val="22"/>
        </w:rPr>
        <w:t>)</w:t>
      </w:r>
      <w:bookmarkEnd w:id="5"/>
      <w:bookmarkEnd w:id="6"/>
    </w:p>
    <w:p w:rsidR="00120B2D" w:rsidRPr="009B12FF" w:rsidRDefault="00332FDD" w:rsidP="009A7603">
      <w:pPr>
        <w:jc w:val="both"/>
        <w:rPr>
          <w:rFonts w:ascii="Arial" w:hAnsi="Arial" w:cs="Arial"/>
          <w:color w:val="000000" w:themeColor="text1"/>
          <w:sz w:val="22"/>
          <w:szCs w:val="22"/>
        </w:rPr>
      </w:pPr>
      <w:r w:rsidRPr="009B12FF">
        <w:rPr>
          <w:rFonts w:ascii="Arial" w:hAnsi="Arial" w:cs="Arial"/>
          <w:color w:val="000000" w:themeColor="text1"/>
          <w:sz w:val="22"/>
          <w:szCs w:val="22"/>
        </w:rPr>
        <w:t>El p</w:t>
      </w:r>
      <w:r w:rsidR="0035765A" w:rsidRPr="009B12FF">
        <w:rPr>
          <w:rFonts w:ascii="Arial" w:hAnsi="Arial" w:cs="Arial"/>
          <w:color w:val="000000" w:themeColor="text1"/>
          <w:sz w:val="22"/>
          <w:szCs w:val="22"/>
        </w:rPr>
        <w:t>rograma 1 Actividades Centrales es el encargado de bri</w:t>
      </w:r>
      <w:r w:rsidRPr="009B12FF">
        <w:rPr>
          <w:rFonts w:ascii="Arial" w:hAnsi="Arial" w:cs="Arial"/>
          <w:color w:val="000000" w:themeColor="text1"/>
          <w:sz w:val="22"/>
          <w:szCs w:val="22"/>
        </w:rPr>
        <w:t>ndar los servicios de apoyo al p</w:t>
      </w:r>
      <w:r w:rsidR="0035765A" w:rsidRPr="009B12FF">
        <w:rPr>
          <w:rFonts w:ascii="Arial" w:hAnsi="Arial" w:cs="Arial"/>
          <w:color w:val="000000" w:themeColor="text1"/>
          <w:sz w:val="22"/>
          <w:szCs w:val="22"/>
        </w:rPr>
        <w:t>rograma sustantivo 2</w:t>
      </w:r>
      <w:r w:rsidR="00676AFE" w:rsidRPr="009B12FF">
        <w:rPr>
          <w:rFonts w:ascii="Arial" w:hAnsi="Arial" w:cs="Arial"/>
          <w:color w:val="000000" w:themeColor="text1"/>
          <w:sz w:val="22"/>
          <w:szCs w:val="22"/>
        </w:rPr>
        <w:t>,</w:t>
      </w:r>
      <w:r w:rsidR="0035765A" w:rsidRPr="009B12FF">
        <w:rPr>
          <w:rFonts w:ascii="Arial" w:hAnsi="Arial" w:cs="Arial"/>
          <w:color w:val="000000" w:themeColor="text1"/>
          <w:sz w:val="22"/>
          <w:szCs w:val="22"/>
        </w:rPr>
        <w:t xml:space="preserve"> Administración de Loterías</w:t>
      </w:r>
      <w:r w:rsidR="00A14061">
        <w:rPr>
          <w:rFonts w:ascii="Arial" w:hAnsi="Arial" w:cs="Arial"/>
          <w:color w:val="000000" w:themeColor="text1"/>
          <w:sz w:val="22"/>
          <w:szCs w:val="22"/>
        </w:rPr>
        <w:t>,</w:t>
      </w:r>
      <w:r w:rsidR="00B64FDB" w:rsidRPr="009B12FF">
        <w:rPr>
          <w:rFonts w:ascii="Arial" w:hAnsi="Arial" w:cs="Arial"/>
          <w:color w:val="000000" w:themeColor="text1"/>
          <w:sz w:val="22"/>
          <w:szCs w:val="22"/>
        </w:rPr>
        <w:t xml:space="preserve"> al </w:t>
      </w:r>
      <w:r w:rsidRPr="009B12FF">
        <w:rPr>
          <w:rFonts w:ascii="Arial" w:hAnsi="Arial" w:cs="Arial"/>
          <w:color w:val="000000" w:themeColor="text1"/>
          <w:sz w:val="22"/>
          <w:szCs w:val="22"/>
        </w:rPr>
        <w:t>p</w:t>
      </w:r>
      <w:r w:rsidR="00B64FDB" w:rsidRPr="009B12FF">
        <w:rPr>
          <w:rFonts w:ascii="Arial" w:hAnsi="Arial" w:cs="Arial"/>
          <w:color w:val="000000" w:themeColor="text1"/>
          <w:sz w:val="22"/>
          <w:szCs w:val="22"/>
        </w:rPr>
        <w:t xml:space="preserve">rograma sustantivo 3 </w:t>
      </w:r>
      <w:r w:rsidR="00824B5B" w:rsidRPr="009B12FF">
        <w:rPr>
          <w:rFonts w:ascii="Arial" w:hAnsi="Arial" w:cs="Arial"/>
          <w:color w:val="000000" w:themeColor="text1"/>
          <w:sz w:val="22"/>
          <w:szCs w:val="22"/>
        </w:rPr>
        <w:t>Admini</w:t>
      </w:r>
      <w:r w:rsidRPr="009B12FF">
        <w:rPr>
          <w:rFonts w:ascii="Arial" w:hAnsi="Arial" w:cs="Arial"/>
          <w:color w:val="000000" w:themeColor="text1"/>
          <w:sz w:val="22"/>
          <w:szCs w:val="22"/>
        </w:rPr>
        <w:t>stración de Campos Santos y al p</w:t>
      </w:r>
      <w:r w:rsidR="00824B5B" w:rsidRPr="009B12FF">
        <w:rPr>
          <w:rFonts w:ascii="Arial" w:hAnsi="Arial" w:cs="Arial"/>
          <w:color w:val="000000" w:themeColor="text1"/>
          <w:sz w:val="22"/>
          <w:szCs w:val="22"/>
        </w:rPr>
        <w:t>rograma 4 Gestión Social.</w:t>
      </w:r>
      <w:r w:rsidR="00676AFE" w:rsidRPr="009B12FF">
        <w:rPr>
          <w:rFonts w:ascii="Arial" w:hAnsi="Arial" w:cs="Arial"/>
          <w:color w:val="000000" w:themeColor="text1"/>
          <w:sz w:val="22"/>
          <w:szCs w:val="22"/>
        </w:rPr>
        <w:t xml:space="preserve"> </w:t>
      </w:r>
      <w:r w:rsidR="00BF25DC" w:rsidRPr="009B12FF">
        <w:rPr>
          <w:rFonts w:ascii="Arial" w:hAnsi="Arial" w:cs="Arial"/>
          <w:color w:val="000000" w:themeColor="text1"/>
          <w:sz w:val="22"/>
          <w:szCs w:val="22"/>
        </w:rPr>
        <w:t xml:space="preserve">El área </w:t>
      </w:r>
      <w:r w:rsidR="003C5845" w:rsidRPr="009B12FF">
        <w:rPr>
          <w:rFonts w:ascii="Arial" w:hAnsi="Arial" w:cs="Arial"/>
          <w:color w:val="000000" w:themeColor="text1"/>
          <w:sz w:val="22"/>
          <w:szCs w:val="22"/>
        </w:rPr>
        <w:t xml:space="preserve">Administrativo </w:t>
      </w:r>
      <w:r w:rsidR="00750237" w:rsidRPr="009B12FF">
        <w:rPr>
          <w:rFonts w:ascii="Arial" w:hAnsi="Arial" w:cs="Arial"/>
          <w:color w:val="000000" w:themeColor="text1"/>
          <w:sz w:val="22"/>
          <w:szCs w:val="22"/>
        </w:rPr>
        <w:t>Financiero</w:t>
      </w:r>
      <w:r w:rsidR="003C5845" w:rsidRPr="009B12FF">
        <w:rPr>
          <w:rFonts w:ascii="Arial" w:hAnsi="Arial" w:cs="Arial"/>
          <w:color w:val="000000" w:themeColor="text1"/>
          <w:sz w:val="22"/>
          <w:szCs w:val="22"/>
        </w:rPr>
        <w:t xml:space="preserve"> </w:t>
      </w:r>
      <w:r w:rsidR="001C0FB7" w:rsidRPr="009B12FF">
        <w:rPr>
          <w:rFonts w:ascii="Arial" w:hAnsi="Arial" w:cs="Arial"/>
          <w:color w:val="000000" w:themeColor="text1"/>
          <w:sz w:val="22"/>
          <w:szCs w:val="22"/>
        </w:rPr>
        <w:t xml:space="preserve">contempla los departamentos </w:t>
      </w:r>
      <w:r w:rsidR="00BF25DC" w:rsidRPr="009B12FF">
        <w:rPr>
          <w:rFonts w:ascii="Arial" w:hAnsi="Arial" w:cs="Arial"/>
          <w:sz w:val="22"/>
          <w:szCs w:val="22"/>
        </w:rPr>
        <w:t>Contab</w:t>
      </w:r>
      <w:r w:rsidR="001C0FB7" w:rsidRPr="009B12FF">
        <w:rPr>
          <w:rFonts w:ascii="Arial" w:hAnsi="Arial" w:cs="Arial"/>
          <w:sz w:val="22"/>
          <w:szCs w:val="22"/>
        </w:rPr>
        <w:t xml:space="preserve">le-presupuestario </w:t>
      </w:r>
      <w:r w:rsidR="001C0FB7" w:rsidRPr="009B12FF">
        <w:rPr>
          <w:rFonts w:ascii="Arial" w:hAnsi="Arial" w:cs="Arial"/>
          <w:color w:val="000000" w:themeColor="text1"/>
          <w:sz w:val="22"/>
          <w:szCs w:val="22"/>
        </w:rPr>
        <w:t>y Tesorería</w:t>
      </w:r>
      <w:r w:rsidR="00BF25DC" w:rsidRPr="009B12FF">
        <w:rPr>
          <w:rFonts w:ascii="Arial" w:hAnsi="Arial" w:cs="Arial"/>
          <w:color w:val="000000" w:themeColor="text1"/>
          <w:sz w:val="22"/>
          <w:szCs w:val="22"/>
        </w:rPr>
        <w:t xml:space="preserve"> por lo tanto es la </w:t>
      </w:r>
      <w:r w:rsidR="00EC0C1A" w:rsidRPr="009B12FF">
        <w:rPr>
          <w:rFonts w:ascii="Arial" w:hAnsi="Arial" w:cs="Arial"/>
          <w:color w:val="000000" w:themeColor="text1"/>
          <w:sz w:val="22"/>
          <w:szCs w:val="22"/>
        </w:rPr>
        <w:t xml:space="preserve"> encargada de ejecutar</w:t>
      </w:r>
      <w:r w:rsidR="00BF25DC" w:rsidRPr="009B12FF">
        <w:rPr>
          <w:rFonts w:ascii="Arial" w:hAnsi="Arial" w:cs="Arial"/>
          <w:color w:val="000000" w:themeColor="text1"/>
          <w:sz w:val="22"/>
          <w:szCs w:val="22"/>
        </w:rPr>
        <w:t xml:space="preserve">, entre otros, </w:t>
      </w:r>
      <w:r w:rsidR="00EC0C1A" w:rsidRPr="009B12FF">
        <w:rPr>
          <w:rFonts w:ascii="Arial" w:hAnsi="Arial" w:cs="Arial"/>
          <w:color w:val="000000" w:themeColor="text1"/>
          <w:sz w:val="22"/>
          <w:szCs w:val="22"/>
        </w:rPr>
        <w:t xml:space="preserve"> el cambio de premios, transferencias de utilidades a las instituciones beneficiarias</w:t>
      </w:r>
      <w:r w:rsidR="00BF25DC" w:rsidRPr="009B12FF">
        <w:rPr>
          <w:rFonts w:ascii="Arial" w:hAnsi="Arial" w:cs="Arial"/>
          <w:color w:val="000000" w:themeColor="text1"/>
          <w:sz w:val="22"/>
          <w:szCs w:val="22"/>
        </w:rPr>
        <w:t>, estas últimas</w:t>
      </w:r>
      <w:r w:rsidR="00EC0C1A" w:rsidRPr="009B12FF">
        <w:rPr>
          <w:rFonts w:ascii="Arial" w:hAnsi="Arial" w:cs="Arial"/>
          <w:color w:val="000000" w:themeColor="text1"/>
          <w:sz w:val="22"/>
          <w:szCs w:val="22"/>
        </w:rPr>
        <w:t xml:space="preserve"> en coordinación con el departamento de </w:t>
      </w:r>
      <w:r w:rsidR="00B571DF" w:rsidRPr="009B12FF">
        <w:rPr>
          <w:rFonts w:ascii="Arial" w:hAnsi="Arial" w:cs="Arial"/>
          <w:color w:val="000000" w:themeColor="text1"/>
          <w:sz w:val="22"/>
          <w:szCs w:val="22"/>
        </w:rPr>
        <w:t xml:space="preserve">Gestión </w:t>
      </w:r>
      <w:r w:rsidR="00EC0C1A" w:rsidRPr="009B12FF">
        <w:rPr>
          <w:rFonts w:ascii="Arial" w:hAnsi="Arial" w:cs="Arial"/>
          <w:color w:val="000000" w:themeColor="text1"/>
          <w:sz w:val="22"/>
          <w:szCs w:val="22"/>
        </w:rPr>
        <w:t>Social</w:t>
      </w:r>
      <w:r w:rsidR="00BF25DC" w:rsidRPr="009B12FF">
        <w:rPr>
          <w:rFonts w:ascii="Arial" w:hAnsi="Arial" w:cs="Arial"/>
          <w:color w:val="000000" w:themeColor="text1"/>
          <w:sz w:val="22"/>
          <w:szCs w:val="22"/>
        </w:rPr>
        <w:t>.</w:t>
      </w:r>
    </w:p>
    <w:p w:rsidR="002466FB" w:rsidRPr="009B12FF" w:rsidRDefault="002466FB" w:rsidP="009A7603">
      <w:pPr>
        <w:jc w:val="both"/>
        <w:rPr>
          <w:rFonts w:ascii="Arial" w:hAnsi="Arial" w:cs="Arial"/>
          <w:color w:val="000000" w:themeColor="text1"/>
          <w:sz w:val="22"/>
          <w:szCs w:val="22"/>
        </w:rPr>
      </w:pPr>
    </w:p>
    <w:p w:rsidR="002466FB" w:rsidRPr="009B12FF" w:rsidRDefault="002466FB" w:rsidP="002466FB">
      <w:pPr>
        <w:jc w:val="both"/>
        <w:rPr>
          <w:rFonts w:ascii="Arial" w:hAnsi="Arial" w:cs="Arial"/>
          <w:color w:val="000000" w:themeColor="text1"/>
          <w:sz w:val="22"/>
          <w:szCs w:val="22"/>
        </w:rPr>
      </w:pPr>
      <w:r w:rsidRPr="009B12FF">
        <w:rPr>
          <w:rFonts w:ascii="Arial" w:hAnsi="Arial" w:cs="Arial"/>
          <w:color w:val="000000" w:themeColor="text1"/>
          <w:sz w:val="22"/>
          <w:szCs w:val="22"/>
        </w:rPr>
        <w:t>De conformidad con lo establecido en la Ley N°8718, “Autorización para el cambio de nombre de la Junta de Protección Social y establecimiento de la distribución de rentas de las Loterías Nacionales” en su artículo N° 18 “Pago de los premios” indica:</w:t>
      </w:r>
    </w:p>
    <w:p w:rsidR="002466FB" w:rsidRPr="009B12FF" w:rsidRDefault="002466FB" w:rsidP="002466FB">
      <w:pPr>
        <w:jc w:val="both"/>
        <w:rPr>
          <w:rFonts w:ascii="Arial" w:hAnsi="Arial" w:cs="Arial"/>
          <w:color w:val="000000" w:themeColor="text1"/>
          <w:sz w:val="22"/>
          <w:szCs w:val="22"/>
        </w:rPr>
      </w:pPr>
    </w:p>
    <w:p w:rsidR="002466FB" w:rsidRPr="009B12FF" w:rsidRDefault="002466FB" w:rsidP="002466FB">
      <w:pPr>
        <w:jc w:val="both"/>
        <w:rPr>
          <w:rFonts w:ascii="Arial" w:hAnsi="Arial" w:cs="Arial"/>
          <w:color w:val="000000" w:themeColor="text1"/>
          <w:sz w:val="22"/>
          <w:szCs w:val="22"/>
        </w:rPr>
      </w:pPr>
      <w:r w:rsidRPr="009B12FF">
        <w:rPr>
          <w:rFonts w:ascii="Arial" w:hAnsi="Arial" w:cs="Arial"/>
          <w:color w:val="000000" w:themeColor="text1"/>
          <w:sz w:val="22"/>
          <w:szCs w:val="22"/>
        </w:rPr>
        <w:t>“Los billetes que resulten premiados se le pagarán al portador cuando se presente dentro del plazo de sesenta (60) días naturales, contado a partir del día hábil siguiente a la realización del sorteo…”</w:t>
      </w:r>
    </w:p>
    <w:p w:rsidR="002466FB" w:rsidRPr="009B12FF" w:rsidRDefault="002466FB" w:rsidP="002466FB">
      <w:pPr>
        <w:jc w:val="both"/>
        <w:rPr>
          <w:rFonts w:ascii="Arial" w:hAnsi="Arial" w:cs="Arial"/>
          <w:color w:val="000000" w:themeColor="text1"/>
          <w:sz w:val="22"/>
          <w:szCs w:val="22"/>
        </w:rPr>
      </w:pPr>
    </w:p>
    <w:p w:rsidR="002466FB" w:rsidRPr="009B12FF" w:rsidRDefault="002466FB" w:rsidP="002466FB">
      <w:pPr>
        <w:jc w:val="both"/>
        <w:rPr>
          <w:rFonts w:ascii="Arial" w:hAnsi="Arial" w:cs="Arial"/>
          <w:color w:val="000000" w:themeColor="text1"/>
          <w:sz w:val="22"/>
          <w:szCs w:val="22"/>
        </w:rPr>
      </w:pPr>
      <w:r w:rsidRPr="009B12FF">
        <w:rPr>
          <w:rFonts w:ascii="Arial" w:hAnsi="Arial" w:cs="Arial"/>
          <w:color w:val="000000" w:themeColor="text1"/>
          <w:sz w:val="22"/>
          <w:szCs w:val="22"/>
        </w:rPr>
        <w:t>Tomando en consideración que la ley otorga 60 días naturales para el cambio de premios, la liquidación mensual para obtener el monto de la utilidad, debe de respetar este plazo. Motivo por el cual, los datos suministrados por el Departamento Contable Presupuestario</w:t>
      </w:r>
      <w:r w:rsidR="006142EF">
        <w:rPr>
          <w:rFonts w:ascii="Arial" w:hAnsi="Arial" w:cs="Arial"/>
          <w:color w:val="000000" w:themeColor="text1"/>
          <w:sz w:val="22"/>
          <w:szCs w:val="22"/>
        </w:rPr>
        <w:t xml:space="preserve"> respecto a la determinación de la utilidad</w:t>
      </w:r>
      <w:r w:rsidRPr="009B12FF">
        <w:rPr>
          <w:rFonts w:ascii="Arial" w:hAnsi="Arial" w:cs="Arial"/>
          <w:color w:val="000000" w:themeColor="text1"/>
          <w:sz w:val="22"/>
          <w:szCs w:val="22"/>
        </w:rPr>
        <w:t xml:space="preserve">, comprenden el periodo que inicia en el mes de noviembre 2012 y finaliza en el mes de octubre 2013.  </w:t>
      </w:r>
    </w:p>
    <w:p w:rsidR="00B571DF" w:rsidRPr="009B12FF" w:rsidRDefault="00B571DF" w:rsidP="009A7603">
      <w:pPr>
        <w:jc w:val="both"/>
        <w:rPr>
          <w:rFonts w:ascii="Arial" w:hAnsi="Arial" w:cs="Arial"/>
          <w:color w:val="000000" w:themeColor="text1"/>
          <w:sz w:val="22"/>
          <w:szCs w:val="22"/>
        </w:rPr>
      </w:pPr>
    </w:p>
    <w:p w:rsidR="00414094" w:rsidRPr="009B12FF" w:rsidRDefault="003F075F" w:rsidP="009A7603">
      <w:pPr>
        <w:jc w:val="both"/>
        <w:rPr>
          <w:rFonts w:ascii="Arial" w:hAnsi="Arial" w:cs="Arial"/>
          <w:color w:val="000000" w:themeColor="text1"/>
          <w:sz w:val="22"/>
          <w:szCs w:val="22"/>
        </w:rPr>
      </w:pPr>
      <w:r w:rsidRPr="009B12FF">
        <w:rPr>
          <w:rFonts w:ascii="Arial" w:hAnsi="Arial" w:cs="Arial"/>
          <w:b/>
          <w:color w:val="000000" w:themeColor="text1"/>
          <w:sz w:val="22"/>
          <w:szCs w:val="22"/>
        </w:rPr>
        <w:t>Misión del Programa</w:t>
      </w:r>
      <w:r w:rsidRPr="009B12FF">
        <w:rPr>
          <w:rFonts w:ascii="Arial" w:hAnsi="Arial" w:cs="Arial"/>
          <w:color w:val="000000" w:themeColor="text1"/>
          <w:sz w:val="22"/>
          <w:szCs w:val="22"/>
        </w:rPr>
        <w:t>:</w:t>
      </w:r>
    </w:p>
    <w:p w:rsidR="00414094" w:rsidRPr="009B12FF" w:rsidRDefault="00414094" w:rsidP="009A7603">
      <w:pPr>
        <w:jc w:val="both"/>
        <w:rPr>
          <w:rFonts w:ascii="Arial" w:hAnsi="Arial" w:cs="Arial"/>
          <w:color w:val="000000" w:themeColor="text1"/>
          <w:sz w:val="22"/>
          <w:szCs w:val="22"/>
        </w:rPr>
      </w:pPr>
    </w:p>
    <w:p w:rsidR="003F075F" w:rsidRPr="009B12FF" w:rsidRDefault="003F075F" w:rsidP="009A7603">
      <w:pPr>
        <w:jc w:val="both"/>
        <w:rPr>
          <w:rFonts w:ascii="Arial" w:hAnsi="Arial" w:cs="Arial"/>
          <w:color w:val="000000" w:themeColor="text1"/>
          <w:sz w:val="22"/>
          <w:szCs w:val="22"/>
        </w:rPr>
      </w:pPr>
      <w:r w:rsidRPr="009B12FF">
        <w:rPr>
          <w:rFonts w:ascii="Arial" w:hAnsi="Arial" w:cs="Arial"/>
          <w:color w:val="000000" w:themeColor="text1"/>
          <w:sz w:val="22"/>
          <w:szCs w:val="22"/>
        </w:rPr>
        <w:t>Coadyuvar en el desarrollo institucional, promoviendo la eficiencia en la generación de recursos producidos de la venta de lotería, mediante acciones ágiles, que garanticen la operati</w:t>
      </w:r>
      <w:r w:rsidR="008914E4" w:rsidRPr="009B12FF">
        <w:rPr>
          <w:rFonts w:ascii="Arial" w:hAnsi="Arial" w:cs="Arial"/>
          <w:color w:val="000000" w:themeColor="text1"/>
          <w:sz w:val="22"/>
          <w:szCs w:val="22"/>
        </w:rPr>
        <w:t>vi</w:t>
      </w:r>
      <w:r w:rsidRPr="009B12FF">
        <w:rPr>
          <w:rFonts w:ascii="Arial" w:hAnsi="Arial" w:cs="Arial"/>
          <w:color w:val="000000" w:themeColor="text1"/>
          <w:sz w:val="22"/>
          <w:szCs w:val="22"/>
        </w:rPr>
        <w:t>zación institucional y servicio al cliente.</w:t>
      </w:r>
    </w:p>
    <w:p w:rsidR="001D58D3" w:rsidRPr="009B12FF" w:rsidRDefault="001D58D3" w:rsidP="009A7603">
      <w:pPr>
        <w:jc w:val="both"/>
        <w:rPr>
          <w:rFonts w:ascii="Arial" w:hAnsi="Arial" w:cs="Arial"/>
          <w:color w:val="000000" w:themeColor="text1"/>
          <w:sz w:val="22"/>
          <w:szCs w:val="22"/>
        </w:rPr>
      </w:pPr>
    </w:p>
    <w:p w:rsidR="00C01BA5" w:rsidRPr="009B12FF" w:rsidRDefault="003D0DBF" w:rsidP="009A7603">
      <w:pPr>
        <w:jc w:val="both"/>
        <w:rPr>
          <w:rFonts w:ascii="Arial" w:hAnsi="Arial" w:cs="Arial"/>
          <w:b/>
          <w:color w:val="000000" w:themeColor="text1"/>
          <w:sz w:val="22"/>
          <w:szCs w:val="22"/>
        </w:rPr>
      </w:pPr>
      <w:r w:rsidRPr="009B12FF">
        <w:rPr>
          <w:rFonts w:ascii="Arial" w:hAnsi="Arial" w:cs="Arial"/>
          <w:b/>
          <w:color w:val="000000" w:themeColor="text1"/>
          <w:sz w:val="22"/>
          <w:szCs w:val="22"/>
        </w:rPr>
        <w:t xml:space="preserve">Objetivos estratégicos </w:t>
      </w:r>
    </w:p>
    <w:p w:rsidR="009C63FF" w:rsidRPr="009B12FF" w:rsidRDefault="009C63FF" w:rsidP="009A7603">
      <w:pPr>
        <w:jc w:val="both"/>
        <w:rPr>
          <w:rFonts w:ascii="Arial" w:hAnsi="Arial" w:cs="Arial"/>
          <w:color w:val="000000" w:themeColor="text1"/>
          <w:sz w:val="22"/>
          <w:szCs w:val="22"/>
        </w:rPr>
      </w:pPr>
    </w:p>
    <w:p w:rsidR="009C63FF" w:rsidRPr="009B12FF" w:rsidRDefault="009C63FF" w:rsidP="009A7603">
      <w:pPr>
        <w:pStyle w:val="Ttulo2"/>
        <w:keepNext/>
        <w:spacing w:before="0" w:beforeAutospacing="0" w:after="0" w:afterAutospacing="0"/>
        <w:jc w:val="both"/>
        <w:rPr>
          <w:rFonts w:ascii="Arial" w:hAnsi="Arial" w:cs="Arial"/>
          <w:b w:val="0"/>
          <w:color w:val="000000" w:themeColor="text1"/>
          <w:sz w:val="22"/>
          <w:szCs w:val="22"/>
        </w:rPr>
      </w:pPr>
      <w:bookmarkStart w:id="7" w:name="_Toc346011456"/>
      <w:bookmarkStart w:id="8" w:name="_Toc346011487"/>
      <w:bookmarkStart w:id="9" w:name="_Toc346011550"/>
      <w:bookmarkStart w:id="10" w:name="_Toc376955556"/>
      <w:r w:rsidRPr="009B12FF">
        <w:rPr>
          <w:rFonts w:ascii="Arial" w:hAnsi="Arial" w:cs="Arial"/>
          <w:b w:val="0"/>
          <w:color w:val="000000" w:themeColor="text1"/>
          <w:sz w:val="22"/>
          <w:szCs w:val="22"/>
        </w:rPr>
        <w:t>“Incrementar la utilidad neta, al menos en un 4% anual por encima de la inflación proyectada del período, mediante la mejora continua de los productos actuales y futuros.”</w:t>
      </w:r>
      <w:bookmarkEnd w:id="7"/>
      <w:bookmarkEnd w:id="8"/>
      <w:bookmarkEnd w:id="9"/>
      <w:bookmarkEnd w:id="10"/>
    </w:p>
    <w:p w:rsidR="009C63FF" w:rsidRPr="009B12FF" w:rsidRDefault="009C63FF" w:rsidP="009A7603">
      <w:pPr>
        <w:pStyle w:val="Ttulo2"/>
        <w:keepNext/>
        <w:spacing w:before="0" w:beforeAutospacing="0" w:after="0" w:afterAutospacing="0"/>
        <w:jc w:val="both"/>
        <w:rPr>
          <w:rFonts w:ascii="Arial" w:hAnsi="Arial" w:cs="Arial"/>
          <w:b w:val="0"/>
          <w:color w:val="000000" w:themeColor="text1"/>
          <w:sz w:val="22"/>
          <w:szCs w:val="22"/>
        </w:rPr>
      </w:pPr>
    </w:p>
    <w:p w:rsidR="009C63FF" w:rsidRPr="009B12FF" w:rsidRDefault="009C63FF" w:rsidP="009A7603">
      <w:pPr>
        <w:pStyle w:val="Ttulo2"/>
        <w:keepNext/>
        <w:spacing w:before="0" w:beforeAutospacing="0" w:after="0" w:afterAutospacing="0"/>
        <w:jc w:val="both"/>
        <w:rPr>
          <w:rFonts w:ascii="Arial" w:hAnsi="Arial" w:cs="Arial"/>
          <w:b w:val="0"/>
          <w:color w:val="000000" w:themeColor="text1"/>
          <w:sz w:val="22"/>
          <w:szCs w:val="22"/>
        </w:rPr>
      </w:pPr>
      <w:r w:rsidRPr="009B12FF">
        <w:rPr>
          <w:rFonts w:ascii="Arial" w:hAnsi="Arial" w:cs="Arial"/>
          <w:b w:val="0"/>
          <w:color w:val="000000" w:themeColor="text1"/>
          <w:sz w:val="22"/>
          <w:szCs w:val="22"/>
        </w:rPr>
        <w:t xml:space="preserve"> </w:t>
      </w:r>
      <w:bookmarkStart w:id="11" w:name="_Toc346011457"/>
      <w:bookmarkStart w:id="12" w:name="_Toc346011488"/>
      <w:bookmarkStart w:id="13" w:name="_Toc346011551"/>
      <w:bookmarkStart w:id="14" w:name="_Toc376955557"/>
      <w:r w:rsidRPr="009B12FF">
        <w:rPr>
          <w:rFonts w:ascii="Arial" w:hAnsi="Arial" w:cs="Arial"/>
          <w:b w:val="0"/>
          <w:color w:val="000000" w:themeColor="text1"/>
          <w:sz w:val="22"/>
          <w:szCs w:val="22"/>
        </w:rPr>
        <w:t>“Generar y transferir mayores utilidades netas con la finalidad de colaborar con los programas desarrollados por las instituciones y organizaciones de bienestar social”</w:t>
      </w:r>
      <w:bookmarkEnd w:id="11"/>
      <w:bookmarkEnd w:id="12"/>
      <w:bookmarkEnd w:id="13"/>
      <w:bookmarkEnd w:id="14"/>
    </w:p>
    <w:p w:rsidR="00A55F3E" w:rsidRPr="009B12FF" w:rsidRDefault="00A55F3E" w:rsidP="00D31EE7">
      <w:pPr>
        <w:pStyle w:val="Ttulo2"/>
        <w:keepNext/>
        <w:spacing w:before="0" w:beforeAutospacing="0" w:after="0" w:afterAutospacing="0"/>
        <w:jc w:val="both"/>
        <w:rPr>
          <w:rFonts w:ascii="Arial" w:hAnsi="Arial" w:cs="Arial"/>
          <w:b w:val="0"/>
          <w:color w:val="000000" w:themeColor="text1"/>
          <w:sz w:val="22"/>
          <w:szCs w:val="22"/>
        </w:rPr>
      </w:pPr>
    </w:p>
    <w:p w:rsidR="00D31EE7" w:rsidRPr="009B12FF" w:rsidRDefault="00D31EE7" w:rsidP="00D31EE7">
      <w:pPr>
        <w:jc w:val="both"/>
        <w:rPr>
          <w:rFonts w:ascii="Arial" w:hAnsi="Arial" w:cs="Arial"/>
          <w:sz w:val="22"/>
          <w:szCs w:val="22"/>
        </w:rPr>
      </w:pPr>
      <w:r w:rsidRPr="009B12FF">
        <w:rPr>
          <w:rFonts w:ascii="Arial" w:hAnsi="Arial" w:cs="Arial"/>
          <w:sz w:val="22"/>
          <w:szCs w:val="22"/>
        </w:rPr>
        <w:t>Las utilidades propuestas son las generadas de los sorteos de Noviembre del 2012 a Octubre 2013, en esta etapa final del Plan Operativo Institucional, los indicadores se generan de acuerdo con el reporte Liquidaciones &gt;Contabilidad &gt;Distribución de Renta todas las loterías, de la Junta de Protección Social, el cual es empleado como base para el registro contable y la determinación de utilidades que se transfieren a las Organizaciones de Bienestar Social, así como el pago de impuestos al Ministerio de Hacienda. La utilidad de la lotería instantánea es suministrada por el Departamento de Contabilidad.</w:t>
      </w:r>
    </w:p>
    <w:p w:rsidR="00D31EE7" w:rsidRPr="009B12FF" w:rsidRDefault="00D31EE7" w:rsidP="00D31EE7">
      <w:pPr>
        <w:jc w:val="both"/>
        <w:rPr>
          <w:rFonts w:ascii="Arial" w:hAnsi="Arial" w:cs="Arial"/>
          <w:sz w:val="22"/>
          <w:szCs w:val="22"/>
        </w:rPr>
      </w:pPr>
    </w:p>
    <w:p w:rsidR="00224C4C" w:rsidRPr="009B12FF" w:rsidRDefault="00224C4C" w:rsidP="00D31EE7">
      <w:pPr>
        <w:jc w:val="both"/>
        <w:rPr>
          <w:rFonts w:ascii="Arial" w:hAnsi="Arial" w:cs="Arial"/>
          <w:sz w:val="22"/>
          <w:szCs w:val="22"/>
        </w:rPr>
      </w:pPr>
    </w:p>
    <w:p w:rsidR="00B1620F" w:rsidRPr="009B12FF" w:rsidRDefault="00903B89" w:rsidP="009A7603">
      <w:pPr>
        <w:jc w:val="both"/>
        <w:rPr>
          <w:rFonts w:ascii="Arial" w:hAnsi="Arial" w:cs="Arial"/>
          <w:b/>
          <w:color w:val="000000" w:themeColor="text1"/>
          <w:sz w:val="22"/>
          <w:szCs w:val="22"/>
          <w:u w:val="single"/>
        </w:rPr>
      </w:pPr>
      <w:r w:rsidRPr="009B12FF">
        <w:rPr>
          <w:rFonts w:ascii="Arial" w:hAnsi="Arial" w:cs="Arial"/>
          <w:b/>
          <w:color w:val="000000" w:themeColor="text1"/>
          <w:sz w:val="22"/>
          <w:szCs w:val="22"/>
          <w:u w:val="single"/>
        </w:rPr>
        <w:t xml:space="preserve">Meta parcialmente </w:t>
      </w:r>
      <w:r w:rsidR="00B1620F" w:rsidRPr="009B12FF">
        <w:rPr>
          <w:rFonts w:ascii="Arial" w:hAnsi="Arial" w:cs="Arial"/>
          <w:b/>
          <w:color w:val="000000" w:themeColor="text1"/>
          <w:sz w:val="22"/>
          <w:szCs w:val="22"/>
          <w:u w:val="single"/>
        </w:rPr>
        <w:t>cumplida</w:t>
      </w:r>
    </w:p>
    <w:p w:rsidR="00F11BDF" w:rsidRPr="009B12FF" w:rsidRDefault="00F11BDF" w:rsidP="009A7603">
      <w:pPr>
        <w:jc w:val="both"/>
        <w:rPr>
          <w:rFonts w:ascii="Arial" w:hAnsi="Arial" w:cs="Arial"/>
          <w:b/>
          <w:color w:val="000000" w:themeColor="text1"/>
          <w:sz w:val="22"/>
          <w:szCs w:val="22"/>
          <w:u w:val="single"/>
        </w:rPr>
      </w:pPr>
    </w:p>
    <w:p w:rsidR="00B1620F" w:rsidRPr="009B12FF" w:rsidRDefault="00B1620F" w:rsidP="009A7603">
      <w:pPr>
        <w:jc w:val="both"/>
        <w:outlineLvl w:val="0"/>
        <w:rPr>
          <w:rFonts w:ascii="Arial" w:hAnsi="Arial" w:cs="Arial"/>
          <w:b/>
          <w:color w:val="000000" w:themeColor="text1"/>
          <w:sz w:val="22"/>
          <w:szCs w:val="22"/>
        </w:rPr>
      </w:pPr>
      <w:bookmarkStart w:id="15" w:name="_Toc346011458"/>
      <w:bookmarkStart w:id="16" w:name="_Toc346011489"/>
      <w:bookmarkStart w:id="17" w:name="_Toc346011552"/>
      <w:bookmarkStart w:id="18" w:name="_Toc376955558"/>
      <w:r w:rsidRPr="009B12FF">
        <w:rPr>
          <w:rFonts w:ascii="Arial" w:hAnsi="Arial" w:cs="Arial"/>
          <w:b/>
          <w:color w:val="000000" w:themeColor="text1"/>
          <w:sz w:val="22"/>
          <w:szCs w:val="22"/>
        </w:rPr>
        <w:t>Indicador 1</w:t>
      </w:r>
      <w:bookmarkEnd w:id="15"/>
      <w:bookmarkEnd w:id="16"/>
      <w:bookmarkEnd w:id="17"/>
      <w:bookmarkEnd w:id="18"/>
    </w:p>
    <w:p w:rsidR="00B1620F" w:rsidRPr="009B12FF" w:rsidRDefault="00B1620F" w:rsidP="009A7603">
      <w:pPr>
        <w:ind w:left="709"/>
        <w:jc w:val="both"/>
        <w:outlineLvl w:val="0"/>
        <w:rPr>
          <w:rFonts w:ascii="Arial" w:hAnsi="Arial" w:cs="Arial"/>
          <w:b/>
          <w:color w:val="000000" w:themeColor="text1"/>
          <w:sz w:val="22"/>
          <w:szCs w:val="22"/>
        </w:rPr>
      </w:pPr>
      <w:bookmarkStart w:id="19" w:name="_Toc346011459"/>
      <w:bookmarkStart w:id="20" w:name="_Toc346011490"/>
      <w:bookmarkStart w:id="21" w:name="_Toc346011553"/>
      <w:bookmarkStart w:id="22" w:name="_Toc376955559"/>
      <w:r w:rsidRPr="009B12FF">
        <w:rPr>
          <w:rFonts w:ascii="Arial" w:hAnsi="Arial" w:cs="Arial"/>
          <w:b/>
          <w:color w:val="000000" w:themeColor="text1"/>
          <w:sz w:val="22"/>
          <w:szCs w:val="22"/>
        </w:rPr>
        <w:t>Porcentaje de la utilidad neta después de impuestos, respecto a las ventas efectivas liquidadas del periodo.</w:t>
      </w:r>
      <w:bookmarkEnd w:id="19"/>
      <w:bookmarkEnd w:id="20"/>
      <w:bookmarkEnd w:id="21"/>
      <w:bookmarkEnd w:id="22"/>
      <w:r w:rsidR="009F6089" w:rsidRPr="009B12FF">
        <w:rPr>
          <w:rFonts w:ascii="Arial" w:hAnsi="Arial" w:cs="Arial"/>
          <w:b/>
          <w:color w:val="000000" w:themeColor="text1"/>
          <w:sz w:val="22"/>
          <w:szCs w:val="22"/>
        </w:rPr>
        <w:t xml:space="preserve"> (P</w:t>
      </w:r>
      <w:r w:rsidR="000B3F2A" w:rsidRPr="009B12FF">
        <w:rPr>
          <w:rFonts w:ascii="Arial" w:hAnsi="Arial" w:cs="Arial"/>
          <w:b/>
          <w:color w:val="000000" w:themeColor="text1"/>
          <w:sz w:val="22"/>
          <w:szCs w:val="22"/>
        </w:rPr>
        <w:t>roceso</w:t>
      </w:r>
      <w:r w:rsidR="009F6089" w:rsidRPr="009B12FF">
        <w:rPr>
          <w:rFonts w:ascii="Arial" w:hAnsi="Arial" w:cs="Arial"/>
          <w:b/>
          <w:color w:val="000000" w:themeColor="text1"/>
          <w:sz w:val="22"/>
          <w:szCs w:val="22"/>
        </w:rPr>
        <w:t>-E</w:t>
      </w:r>
      <w:r w:rsidR="000B3F2A" w:rsidRPr="009B12FF">
        <w:rPr>
          <w:rFonts w:ascii="Arial" w:hAnsi="Arial" w:cs="Arial"/>
          <w:b/>
          <w:color w:val="000000" w:themeColor="text1"/>
          <w:sz w:val="22"/>
          <w:szCs w:val="22"/>
        </w:rPr>
        <w:t>ficiencia)</w:t>
      </w:r>
    </w:p>
    <w:p w:rsidR="00C0258A" w:rsidRPr="009B12FF" w:rsidRDefault="00C0258A" w:rsidP="009A7603">
      <w:pPr>
        <w:ind w:left="709"/>
        <w:jc w:val="both"/>
        <w:outlineLvl w:val="0"/>
        <w:rPr>
          <w:rFonts w:ascii="Arial" w:hAnsi="Arial" w:cs="Arial"/>
          <w:b/>
          <w:color w:val="000000" w:themeColor="text1"/>
          <w:sz w:val="22"/>
          <w:szCs w:val="22"/>
        </w:rPr>
      </w:pPr>
    </w:p>
    <w:tbl>
      <w:tblPr>
        <w:tblStyle w:val="Tablaconcuadrcula"/>
        <w:tblW w:w="8579" w:type="dxa"/>
        <w:tblLayout w:type="fixed"/>
        <w:tblLook w:val="04A0" w:firstRow="1" w:lastRow="0" w:firstColumn="1" w:lastColumn="0" w:noHBand="0" w:noVBand="1"/>
      </w:tblPr>
      <w:tblGrid>
        <w:gridCol w:w="3197"/>
        <w:gridCol w:w="1480"/>
        <w:gridCol w:w="1883"/>
        <w:gridCol w:w="2019"/>
      </w:tblGrid>
      <w:tr w:rsidR="00EA447A" w:rsidRPr="009B12FF" w:rsidTr="00EA447A">
        <w:trPr>
          <w:trHeight w:val="324"/>
        </w:trPr>
        <w:tc>
          <w:tcPr>
            <w:tcW w:w="3197" w:type="dxa"/>
            <w:vAlign w:val="center"/>
          </w:tcPr>
          <w:p w:rsidR="00EA447A" w:rsidRPr="009B12FF" w:rsidRDefault="00824B5B" w:rsidP="00881DDC">
            <w:pPr>
              <w:spacing w:line="276" w:lineRule="auto"/>
              <w:jc w:val="center"/>
              <w:rPr>
                <w:rFonts w:ascii="Arial" w:hAnsi="Arial" w:cs="Arial"/>
                <w:b/>
                <w:sz w:val="22"/>
                <w:szCs w:val="22"/>
              </w:rPr>
            </w:pPr>
            <w:r w:rsidRPr="009B12FF">
              <w:rPr>
                <w:rFonts w:ascii="Arial" w:hAnsi="Arial" w:cs="Arial"/>
                <w:b/>
                <w:sz w:val="22"/>
                <w:szCs w:val="22"/>
              </w:rPr>
              <w:t>Fórmula del Indicador</w:t>
            </w:r>
          </w:p>
        </w:tc>
        <w:tc>
          <w:tcPr>
            <w:tcW w:w="1480" w:type="dxa"/>
            <w:vAlign w:val="center"/>
          </w:tcPr>
          <w:p w:rsidR="00EA447A" w:rsidRPr="009B12FF" w:rsidRDefault="00824B5B" w:rsidP="00881DDC">
            <w:pPr>
              <w:spacing w:line="276" w:lineRule="auto"/>
              <w:jc w:val="center"/>
              <w:rPr>
                <w:rFonts w:ascii="Arial" w:hAnsi="Arial" w:cs="Arial"/>
                <w:b/>
                <w:sz w:val="22"/>
                <w:szCs w:val="22"/>
              </w:rPr>
            </w:pPr>
            <w:r w:rsidRPr="009B12FF">
              <w:rPr>
                <w:rFonts w:ascii="Arial" w:hAnsi="Arial" w:cs="Arial"/>
                <w:b/>
                <w:sz w:val="22"/>
                <w:szCs w:val="22"/>
              </w:rPr>
              <w:t>Meta</w:t>
            </w:r>
          </w:p>
        </w:tc>
        <w:tc>
          <w:tcPr>
            <w:tcW w:w="1883" w:type="dxa"/>
            <w:vAlign w:val="center"/>
          </w:tcPr>
          <w:p w:rsidR="00EA447A" w:rsidRPr="009B12FF" w:rsidRDefault="00824B5B" w:rsidP="00881DDC">
            <w:pPr>
              <w:spacing w:line="276" w:lineRule="auto"/>
              <w:jc w:val="center"/>
              <w:rPr>
                <w:rFonts w:ascii="Arial" w:hAnsi="Arial" w:cs="Arial"/>
                <w:b/>
                <w:sz w:val="22"/>
                <w:szCs w:val="22"/>
              </w:rPr>
            </w:pPr>
            <w:r w:rsidRPr="009B12FF">
              <w:rPr>
                <w:rFonts w:ascii="Arial" w:hAnsi="Arial" w:cs="Arial"/>
                <w:b/>
                <w:sz w:val="22"/>
                <w:szCs w:val="22"/>
              </w:rPr>
              <w:t>Real alcanzado</w:t>
            </w:r>
          </w:p>
        </w:tc>
        <w:tc>
          <w:tcPr>
            <w:tcW w:w="2019" w:type="dxa"/>
          </w:tcPr>
          <w:p w:rsidR="00EA447A" w:rsidRPr="009B12FF" w:rsidRDefault="00824B5B" w:rsidP="00824B5B">
            <w:pPr>
              <w:spacing w:line="276" w:lineRule="auto"/>
              <w:jc w:val="center"/>
              <w:rPr>
                <w:rFonts w:ascii="Arial" w:hAnsi="Arial" w:cs="Arial"/>
                <w:b/>
                <w:sz w:val="22"/>
                <w:szCs w:val="22"/>
              </w:rPr>
            </w:pPr>
            <w:r w:rsidRPr="009B12FF">
              <w:rPr>
                <w:rFonts w:ascii="Arial" w:hAnsi="Arial" w:cs="Arial"/>
                <w:b/>
                <w:sz w:val="22"/>
                <w:szCs w:val="22"/>
              </w:rPr>
              <w:t>% Cumplimiento</w:t>
            </w:r>
          </w:p>
        </w:tc>
      </w:tr>
      <w:tr w:rsidR="007F14F4" w:rsidRPr="009B12FF" w:rsidTr="00135E30">
        <w:trPr>
          <w:trHeight w:val="324"/>
        </w:trPr>
        <w:tc>
          <w:tcPr>
            <w:tcW w:w="3197" w:type="dxa"/>
            <w:vAlign w:val="center"/>
          </w:tcPr>
          <w:p w:rsidR="007F14F4" w:rsidRPr="009B12FF" w:rsidRDefault="007F14F4" w:rsidP="00F318A4">
            <w:pPr>
              <w:spacing w:line="276" w:lineRule="auto"/>
              <w:jc w:val="both"/>
              <w:rPr>
                <w:rFonts w:ascii="Arial" w:hAnsi="Arial" w:cs="Arial"/>
                <w:sz w:val="22"/>
                <w:szCs w:val="22"/>
                <w:lang w:val="es-ES"/>
              </w:rPr>
            </w:pPr>
            <w:r w:rsidRPr="009B12FF">
              <w:rPr>
                <w:rFonts w:ascii="Arial" w:hAnsi="Arial" w:cs="Arial"/>
                <w:sz w:val="22"/>
                <w:szCs w:val="22"/>
                <w:lang w:val="es-ES"/>
              </w:rPr>
              <w:t>(Utilidades netas después de impuesto liquidadas año x/Ventas efectivas liquidadas año x)*100</w:t>
            </w:r>
          </w:p>
        </w:tc>
        <w:tc>
          <w:tcPr>
            <w:tcW w:w="1480" w:type="dxa"/>
            <w:vAlign w:val="center"/>
          </w:tcPr>
          <w:p w:rsidR="007F14F4" w:rsidRPr="009B12FF" w:rsidRDefault="007F14F4" w:rsidP="00135E30">
            <w:pPr>
              <w:spacing w:line="276" w:lineRule="auto"/>
              <w:jc w:val="center"/>
              <w:rPr>
                <w:rFonts w:ascii="Bookman Old Style" w:hAnsi="Bookman Old Style" w:cs="Calibri"/>
                <w:sz w:val="20"/>
                <w:szCs w:val="20"/>
              </w:rPr>
            </w:pPr>
            <w:r w:rsidRPr="009B12FF">
              <w:rPr>
                <w:rFonts w:ascii="Bookman Old Style" w:hAnsi="Bookman Old Style" w:cs="Calibri"/>
                <w:sz w:val="20"/>
                <w:szCs w:val="20"/>
              </w:rPr>
              <w:t>18.53%</w:t>
            </w:r>
          </w:p>
        </w:tc>
        <w:tc>
          <w:tcPr>
            <w:tcW w:w="1883" w:type="dxa"/>
            <w:vAlign w:val="center"/>
          </w:tcPr>
          <w:p w:rsidR="007F14F4" w:rsidRPr="009B12FF" w:rsidRDefault="007F14F4" w:rsidP="00135E30">
            <w:pPr>
              <w:spacing w:line="276" w:lineRule="auto"/>
              <w:jc w:val="center"/>
              <w:rPr>
                <w:rFonts w:ascii="Bookman Old Style" w:hAnsi="Bookman Old Style" w:cs="Calibri"/>
                <w:sz w:val="20"/>
                <w:szCs w:val="20"/>
              </w:rPr>
            </w:pPr>
            <w:r w:rsidRPr="009B12FF">
              <w:rPr>
                <w:rFonts w:ascii="Bookman Old Style" w:hAnsi="Bookman Old Style" w:cs="Calibri"/>
                <w:sz w:val="20"/>
                <w:szCs w:val="20"/>
              </w:rPr>
              <w:t>17.25%</w:t>
            </w:r>
          </w:p>
        </w:tc>
        <w:tc>
          <w:tcPr>
            <w:tcW w:w="2019" w:type="dxa"/>
            <w:vAlign w:val="center"/>
          </w:tcPr>
          <w:p w:rsidR="007F14F4" w:rsidRPr="009B12FF" w:rsidRDefault="007F14F4" w:rsidP="00135E30">
            <w:pPr>
              <w:spacing w:line="276" w:lineRule="auto"/>
              <w:jc w:val="center"/>
              <w:rPr>
                <w:rFonts w:ascii="Bookman Old Style" w:hAnsi="Bookman Old Style" w:cs="Calibri"/>
                <w:sz w:val="20"/>
                <w:szCs w:val="20"/>
              </w:rPr>
            </w:pPr>
            <w:r w:rsidRPr="009B12FF">
              <w:rPr>
                <w:rFonts w:ascii="Bookman Old Style" w:hAnsi="Bookman Old Style" w:cs="Calibri"/>
                <w:sz w:val="20"/>
                <w:szCs w:val="20"/>
              </w:rPr>
              <w:t>93.09%</w:t>
            </w:r>
          </w:p>
        </w:tc>
      </w:tr>
    </w:tbl>
    <w:p w:rsidR="001C58D0" w:rsidRPr="009B12FF" w:rsidRDefault="001C58D0" w:rsidP="00C0258A">
      <w:pPr>
        <w:spacing w:line="276" w:lineRule="auto"/>
        <w:jc w:val="both"/>
        <w:rPr>
          <w:rFonts w:ascii="Arial" w:hAnsi="Arial" w:cs="Arial"/>
          <w:sz w:val="22"/>
          <w:szCs w:val="22"/>
        </w:rPr>
      </w:pPr>
    </w:p>
    <w:p w:rsidR="00987A69" w:rsidRPr="009B12FF" w:rsidRDefault="00987A69" w:rsidP="00987A69">
      <w:pPr>
        <w:jc w:val="both"/>
        <w:rPr>
          <w:rFonts w:ascii="Arial" w:hAnsi="Arial" w:cs="Arial"/>
          <w:sz w:val="22"/>
          <w:szCs w:val="22"/>
        </w:rPr>
      </w:pPr>
      <w:r w:rsidRPr="009B12FF">
        <w:rPr>
          <w:rFonts w:ascii="Arial" w:hAnsi="Arial" w:cs="Arial"/>
          <w:sz w:val="22"/>
          <w:szCs w:val="22"/>
        </w:rPr>
        <w:t>Este indicador mide la relación de las utilidades netas respecto a las ventas efectivas liquidadas (considerando el periodo de noviembre del 2012 a octubre de 2013). Nos presenta el porcentaje de utilidad neta que se logró alcanzar con las ventas efectivas liquidadas de las loterías nacionales.</w:t>
      </w:r>
    </w:p>
    <w:p w:rsidR="00C0258A" w:rsidRPr="009B12FF" w:rsidRDefault="00C0258A" w:rsidP="00C0258A">
      <w:pPr>
        <w:spacing w:line="276" w:lineRule="auto"/>
        <w:jc w:val="both"/>
        <w:rPr>
          <w:rFonts w:ascii="Arial" w:hAnsi="Arial" w:cs="Arial"/>
          <w:sz w:val="22"/>
          <w:szCs w:val="22"/>
        </w:rPr>
      </w:pPr>
    </w:p>
    <w:p w:rsidR="00987A69" w:rsidRPr="009B12FF" w:rsidRDefault="00987A69" w:rsidP="00987A69">
      <w:pPr>
        <w:jc w:val="both"/>
        <w:rPr>
          <w:rFonts w:ascii="Arial" w:hAnsi="Arial" w:cs="Arial"/>
          <w:sz w:val="22"/>
          <w:szCs w:val="22"/>
        </w:rPr>
      </w:pPr>
      <w:r w:rsidRPr="009B12FF">
        <w:rPr>
          <w:rFonts w:ascii="Arial" w:hAnsi="Arial" w:cs="Arial"/>
          <w:sz w:val="22"/>
          <w:szCs w:val="22"/>
        </w:rPr>
        <w:t>Para el año 2013 este indicador se había planteado originalmente con una meta de un 15.81%, pero en el mes de agosto 2013 se incrementó a un 18.53%, según oficio No. DCP-1576.</w:t>
      </w:r>
    </w:p>
    <w:p w:rsidR="00987A69" w:rsidRPr="009B12FF" w:rsidRDefault="00987A69" w:rsidP="007162B8">
      <w:pPr>
        <w:jc w:val="both"/>
        <w:rPr>
          <w:rFonts w:ascii="Arial" w:hAnsi="Arial" w:cs="Arial"/>
          <w:sz w:val="22"/>
          <w:szCs w:val="22"/>
        </w:rPr>
      </w:pPr>
    </w:p>
    <w:p w:rsidR="00257478" w:rsidRPr="009B12FF" w:rsidRDefault="00257478" w:rsidP="00257478">
      <w:pPr>
        <w:jc w:val="both"/>
        <w:rPr>
          <w:rFonts w:ascii="Arial" w:hAnsi="Arial" w:cs="Arial"/>
          <w:sz w:val="22"/>
          <w:szCs w:val="22"/>
        </w:rPr>
      </w:pPr>
      <w:r w:rsidRPr="009B12FF">
        <w:rPr>
          <w:rFonts w:ascii="Arial" w:hAnsi="Arial" w:cs="Arial"/>
          <w:sz w:val="22"/>
          <w:szCs w:val="22"/>
        </w:rPr>
        <w:t>Para el periodo 2013 (noviembre 2012 - octubre 2013) se generaron utilidades netas por ¢31, 231, 846,257 y las ventas efectivas reales en ¢181,032,050,350, obteniendo como resultado un porcentaje del 17.25% de utilidad neta sobre las ventas efectivas, cercano al 18.53% propuesto como meta, lo que nos ubica en un 93.09% de cumplimiento.</w:t>
      </w:r>
    </w:p>
    <w:p w:rsidR="00257478" w:rsidRPr="009B12FF" w:rsidRDefault="00257478" w:rsidP="00257478">
      <w:pPr>
        <w:jc w:val="both"/>
        <w:rPr>
          <w:rFonts w:ascii="Bookman Old Style" w:hAnsi="Bookman Old Style" w:cs="Calibri"/>
          <w:sz w:val="20"/>
          <w:szCs w:val="20"/>
        </w:rPr>
      </w:pPr>
    </w:p>
    <w:p w:rsidR="00C0258A" w:rsidRPr="009B12FF" w:rsidRDefault="00C0258A" w:rsidP="00BA2A50">
      <w:pPr>
        <w:jc w:val="both"/>
        <w:rPr>
          <w:rFonts w:ascii="Arial" w:hAnsi="Arial" w:cs="Arial"/>
          <w:b/>
          <w:color w:val="000000"/>
          <w:sz w:val="22"/>
          <w:szCs w:val="22"/>
          <w:u w:val="single"/>
        </w:rPr>
      </w:pPr>
      <w:r w:rsidRPr="009B12FF">
        <w:rPr>
          <w:rFonts w:ascii="Arial" w:hAnsi="Arial" w:cs="Arial"/>
          <w:b/>
          <w:color w:val="000000"/>
          <w:sz w:val="22"/>
          <w:szCs w:val="22"/>
          <w:u w:val="single"/>
        </w:rPr>
        <w:t>Aspectos Positivos</w:t>
      </w:r>
      <w:r w:rsidR="00F318A4" w:rsidRPr="009B12FF">
        <w:rPr>
          <w:rFonts w:ascii="Arial" w:hAnsi="Arial" w:cs="Arial"/>
          <w:b/>
          <w:color w:val="000000"/>
          <w:sz w:val="22"/>
          <w:szCs w:val="22"/>
          <w:u w:val="single"/>
        </w:rPr>
        <w:t xml:space="preserve"> </w:t>
      </w:r>
    </w:p>
    <w:p w:rsidR="00C0258A" w:rsidRPr="009B12FF" w:rsidRDefault="00C0258A" w:rsidP="00BA2A50">
      <w:pPr>
        <w:jc w:val="both"/>
        <w:rPr>
          <w:rFonts w:ascii="Arial" w:hAnsi="Arial" w:cs="Arial"/>
          <w:color w:val="000000"/>
          <w:sz w:val="22"/>
          <w:szCs w:val="22"/>
        </w:rPr>
      </w:pPr>
    </w:p>
    <w:p w:rsidR="00BA2A50" w:rsidRPr="009B12FF" w:rsidRDefault="00863A05" w:rsidP="00BA2A50">
      <w:pPr>
        <w:jc w:val="both"/>
        <w:rPr>
          <w:rFonts w:ascii="Arial" w:hAnsi="Arial" w:cs="Arial"/>
          <w:sz w:val="22"/>
          <w:szCs w:val="22"/>
        </w:rPr>
      </w:pPr>
      <w:r>
        <w:rPr>
          <w:rFonts w:ascii="Arial" w:hAnsi="Arial" w:cs="Arial"/>
          <w:sz w:val="22"/>
          <w:szCs w:val="22"/>
        </w:rPr>
        <w:t xml:space="preserve">De </w:t>
      </w:r>
      <w:r w:rsidR="00BA2A50" w:rsidRPr="009B12FF">
        <w:rPr>
          <w:rFonts w:ascii="Arial" w:hAnsi="Arial" w:cs="Arial"/>
          <w:sz w:val="22"/>
          <w:szCs w:val="22"/>
        </w:rPr>
        <w:t>acuerdo a los resultados obtenidos en el cuadro comparativo de IV evaluación del POI 2012-2013, al 31 de diciembre de 2013, la utilidad neta después de impuestos obtenida en este periodo fue de un 17.25%, porcentaje cercano a la meta propuesta de un 18.53%.</w:t>
      </w:r>
    </w:p>
    <w:p w:rsidR="00BA2A50" w:rsidRPr="009B12FF" w:rsidRDefault="00BA2A50" w:rsidP="00BA2A50">
      <w:pPr>
        <w:jc w:val="both"/>
        <w:rPr>
          <w:rFonts w:ascii="Arial" w:hAnsi="Arial" w:cs="Arial"/>
          <w:sz w:val="22"/>
          <w:szCs w:val="22"/>
        </w:rPr>
      </w:pPr>
    </w:p>
    <w:p w:rsidR="00BA2A50" w:rsidRPr="009B12FF" w:rsidRDefault="00BA2A50" w:rsidP="00BA2A50">
      <w:pPr>
        <w:jc w:val="both"/>
        <w:rPr>
          <w:rFonts w:ascii="Arial" w:hAnsi="Arial" w:cs="Arial"/>
          <w:sz w:val="22"/>
          <w:szCs w:val="22"/>
        </w:rPr>
      </w:pPr>
      <w:r w:rsidRPr="009B12FF">
        <w:rPr>
          <w:rFonts w:ascii="Arial" w:hAnsi="Arial" w:cs="Arial"/>
          <w:sz w:val="22"/>
          <w:szCs w:val="22"/>
        </w:rPr>
        <w:t>Es importante destacar que a pesar de lo atípico que fue el año 2013, en relación a la distribución y venta de los productos generados por la institución, se muestra un incremento en las utilidades netas después de impuestos, al pasar de un 15.56% en el año 2012 a un 17.25% para el año 2013, lo que representa un aumento de casi un 2% en las utilidades.</w:t>
      </w:r>
    </w:p>
    <w:p w:rsidR="00BA2A50" w:rsidRPr="009B12FF" w:rsidRDefault="00BA2A50" w:rsidP="00BA2A50">
      <w:pPr>
        <w:jc w:val="both"/>
        <w:rPr>
          <w:rFonts w:ascii="Arial" w:hAnsi="Arial" w:cs="Arial"/>
          <w:sz w:val="22"/>
          <w:szCs w:val="22"/>
        </w:rPr>
      </w:pPr>
    </w:p>
    <w:p w:rsidR="00BA2A50" w:rsidRPr="009B12FF" w:rsidRDefault="00BA2A50" w:rsidP="00BA2A50">
      <w:pPr>
        <w:jc w:val="both"/>
        <w:rPr>
          <w:rFonts w:ascii="Arial" w:hAnsi="Arial" w:cs="Arial"/>
          <w:sz w:val="22"/>
          <w:szCs w:val="22"/>
        </w:rPr>
      </w:pPr>
      <w:r w:rsidRPr="009B12FF">
        <w:rPr>
          <w:rFonts w:ascii="Arial" w:hAnsi="Arial" w:cs="Arial"/>
          <w:sz w:val="22"/>
          <w:szCs w:val="22"/>
        </w:rPr>
        <w:t>Con el propósito de mejorar las ventas, durante este periodo se implementaron promociones para atraer a los consumidores, al ofrecer premios adicionales en la Lotería Popular y el premio acumulado en la Lotería Nacional; así como promover un mayor desempeño de los adjudicatarios otorgando incentivos a los mismos.</w:t>
      </w:r>
    </w:p>
    <w:p w:rsidR="00BA2A50" w:rsidRPr="009B12FF" w:rsidRDefault="00BA2A50" w:rsidP="00BA2A50">
      <w:pPr>
        <w:spacing w:line="276" w:lineRule="auto"/>
        <w:jc w:val="both"/>
        <w:rPr>
          <w:rFonts w:ascii="Bookman Old Style" w:hAnsi="Bookman Old Style" w:cs="Calibri"/>
          <w:sz w:val="20"/>
          <w:szCs w:val="20"/>
        </w:rPr>
      </w:pPr>
    </w:p>
    <w:p w:rsidR="00C0258A" w:rsidRPr="009B12FF" w:rsidRDefault="00C0258A" w:rsidP="00012281">
      <w:pPr>
        <w:jc w:val="both"/>
        <w:rPr>
          <w:rFonts w:ascii="Arial" w:hAnsi="Arial" w:cs="Arial"/>
          <w:b/>
          <w:sz w:val="22"/>
          <w:szCs w:val="22"/>
          <w:u w:val="single"/>
        </w:rPr>
      </w:pPr>
      <w:r w:rsidRPr="009B12FF">
        <w:rPr>
          <w:rFonts w:ascii="Arial" w:hAnsi="Arial" w:cs="Arial"/>
          <w:b/>
          <w:sz w:val="22"/>
          <w:szCs w:val="22"/>
          <w:u w:val="single"/>
        </w:rPr>
        <w:t>Aspectos Negativos</w:t>
      </w:r>
    </w:p>
    <w:p w:rsidR="00C0258A" w:rsidRPr="009B12FF" w:rsidRDefault="00C0258A" w:rsidP="00012281">
      <w:pPr>
        <w:jc w:val="both"/>
        <w:rPr>
          <w:rFonts w:ascii="Arial" w:hAnsi="Arial" w:cs="Arial"/>
          <w:b/>
          <w:sz w:val="22"/>
          <w:szCs w:val="22"/>
          <w:u w:val="single"/>
        </w:rPr>
      </w:pPr>
    </w:p>
    <w:p w:rsidR="00BA2A50" w:rsidRPr="009B12FF" w:rsidRDefault="00BA2A50" w:rsidP="00012281">
      <w:pPr>
        <w:jc w:val="both"/>
        <w:rPr>
          <w:rFonts w:ascii="Arial" w:hAnsi="Arial" w:cs="Arial"/>
          <w:sz w:val="22"/>
          <w:szCs w:val="22"/>
        </w:rPr>
      </w:pPr>
      <w:r w:rsidRPr="009B12FF">
        <w:rPr>
          <w:rFonts w:ascii="Arial" w:hAnsi="Arial" w:cs="Arial"/>
          <w:sz w:val="22"/>
          <w:szCs w:val="22"/>
        </w:rPr>
        <w:t>El año 2013 fue un año atípico (periodo comprendido entre noviembre 2012 a octubre 2013), se tuvo que enfrentar un huelga de vendedores de lotería en el mes de agosto 2013, lo que provocó un aumento en la devolución en general. Otro factor que afecto las ventas fue el hecho que para el sorteo “Extraordinario de Navidad” del año 2012 y para el sorteo “Extraordinario Gordito de Medio Año” del año 2013, el premio mayor no fue retirado por los adjudicatarios de lotería, quedando en las arcas de la Institución, lo que provocó una reacción negativa en los jugadores. Ante esta situación la Junta de Protección Social implementó una serie de medidas para atraer a esos consumidores insatisfechos, por lo que se ofrecieron premios adicionales en la Lotería Popular y el premio acumulado en la Lotería Nacional; así como promover un mayor desempeño de los adjudicatarios otorgando incentivos a los mismos.</w:t>
      </w:r>
    </w:p>
    <w:p w:rsidR="00BA2A50" w:rsidRPr="009B12FF" w:rsidRDefault="00BA2A50" w:rsidP="00012281">
      <w:pPr>
        <w:jc w:val="both"/>
        <w:rPr>
          <w:rFonts w:ascii="Arial" w:hAnsi="Arial" w:cs="Arial"/>
          <w:sz w:val="22"/>
          <w:szCs w:val="22"/>
        </w:rPr>
      </w:pPr>
    </w:p>
    <w:p w:rsidR="00BA2A50" w:rsidRPr="009B12FF" w:rsidRDefault="00BA2A50" w:rsidP="00012281">
      <w:pPr>
        <w:jc w:val="both"/>
        <w:rPr>
          <w:rFonts w:ascii="Arial" w:hAnsi="Arial" w:cs="Arial"/>
          <w:b/>
          <w:sz w:val="22"/>
          <w:szCs w:val="22"/>
        </w:rPr>
      </w:pPr>
      <w:r w:rsidRPr="009B12FF">
        <w:rPr>
          <w:rFonts w:ascii="Arial" w:hAnsi="Arial" w:cs="Arial"/>
          <w:sz w:val="22"/>
          <w:szCs w:val="22"/>
        </w:rPr>
        <w:t>Conforme a los resultados obtenidos se presta especial atención a la incidencia que generó las devoluciones de las lotería en el año 2013 (periodo noviembre 2012 a octubre 2013),  que representaron un 16.23% y para la lotería no distribuida fue de un 8.85%, sobre de las ventas brutas. Otra variable a la cual se da seguimiento es a los premios no cambiados cuyos efectos negativos, se presentan cuando el público consumidor disminuye la compra de nuestros productos.</w:t>
      </w:r>
    </w:p>
    <w:p w:rsidR="00C0258A" w:rsidRPr="009B12FF" w:rsidRDefault="00C0258A" w:rsidP="00012281">
      <w:pPr>
        <w:jc w:val="both"/>
        <w:rPr>
          <w:rFonts w:ascii="Arial" w:hAnsi="Arial" w:cs="Arial"/>
          <w:b/>
          <w:sz w:val="22"/>
          <w:szCs w:val="22"/>
        </w:rPr>
      </w:pPr>
    </w:p>
    <w:p w:rsidR="00C0258A" w:rsidRPr="009B12FF" w:rsidRDefault="00C0258A" w:rsidP="00012281">
      <w:pPr>
        <w:jc w:val="both"/>
        <w:rPr>
          <w:rFonts w:ascii="Arial" w:hAnsi="Arial" w:cs="Arial"/>
          <w:b/>
          <w:sz w:val="22"/>
          <w:szCs w:val="22"/>
          <w:u w:val="single"/>
        </w:rPr>
      </w:pPr>
      <w:r w:rsidRPr="009B12FF">
        <w:rPr>
          <w:rFonts w:ascii="Arial" w:hAnsi="Arial" w:cs="Arial"/>
          <w:b/>
          <w:sz w:val="22"/>
          <w:szCs w:val="22"/>
          <w:u w:val="single"/>
        </w:rPr>
        <w:t>Meta cumplida</w:t>
      </w:r>
      <w:r w:rsidR="00012281" w:rsidRPr="009B12FF">
        <w:rPr>
          <w:rFonts w:ascii="Arial" w:hAnsi="Arial" w:cs="Arial"/>
          <w:b/>
          <w:sz w:val="22"/>
          <w:szCs w:val="22"/>
          <w:u w:val="single"/>
        </w:rPr>
        <w:t xml:space="preserve"> </w:t>
      </w:r>
    </w:p>
    <w:p w:rsidR="00C0258A" w:rsidRPr="009B12FF" w:rsidRDefault="00C0258A" w:rsidP="00012281">
      <w:pPr>
        <w:jc w:val="both"/>
        <w:rPr>
          <w:rFonts w:ascii="Arial" w:hAnsi="Arial" w:cs="Arial"/>
          <w:b/>
          <w:sz w:val="22"/>
          <w:szCs w:val="22"/>
        </w:rPr>
      </w:pPr>
    </w:p>
    <w:p w:rsidR="00C0258A" w:rsidRPr="009B12FF" w:rsidRDefault="00C0258A" w:rsidP="00012281">
      <w:pPr>
        <w:jc w:val="both"/>
        <w:rPr>
          <w:rFonts w:ascii="Arial" w:hAnsi="Arial" w:cs="Arial"/>
          <w:b/>
          <w:sz w:val="22"/>
          <w:szCs w:val="22"/>
        </w:rPr>
      </w:pPr>
      <w:r w:rsidRPr="009B12FF">
        <w:rPr>
          <w:rFonts w:ascii="Arial" w:hAnsi="Arial" w:cs="Arial"/>
          <w:b/>
          <w:sz w:val="22"/>
          <w:szCs w:val="22"/>
        </w:rPr>
        <w:t xml:space="preserve">Indicador N°2. </w:t>
      </w:r>
    </w:p>
    <w:p w:rsidR="001C58D0" w:rsidRPr="009B12FF" w:rsidRDefault="00C0258A" w:rsidP="00012281">
      <w:pPr>
        <w:ind w:left="708"/>
        <w:jc w:val="both"/>
        <w:rPr>
          <w:rFonts w:ascii="Arial" w:hAnsi="Arial" w:cs="Arial"/>
          <w:sz w:val="22"/>
          <w:szCs w:val="22"/>
        </w:rPr>
      </w:pPr>
      <w:r w:rsidRPr="009B12FF">
        <w:rPr>
          <w:rFonts w:ascii="Arial" w:hAnsi="Arial" w:cs="Arial"/>
          <w:sz w:val="22"/>
          <w:szCs w:val="22"/>
        </w:rPr>
        <w:t>Porcentaje de variación en las utilidades netas después de impuesto, respecto a las utilidades netas después de impuesto del periodo anterior. (Proceso-Economía).</w:t>
      </w:r>
    </w:p>
    <w:p w:rsidR="00560485" w:rsidRPr="009B12FF" w:rsidRDefault="00B5537C" w:rsidP="00952498">
      <w:pPr>
        <w:ind w:left="708"/>
        <w:jc w:val="both"/>
        <w:rPr>
          <w:rFonts w:ascii="Arial" w:hAnsi="Arial" w:cs="Arial"/>
          <w:sz w:val="22"/>
          <w:szCs w:val="22"/>
        </w:rPr>
      </w:pPr>
      <w:r w:rsidRPr="009B12FF">
        <w:rPr>
          <w:rFonts w:ascii="Arial" w:hAnsi="Arial" w:cs="Arial"/>
          <w:sz w:val="22"/>
          <w:szCs w:val="22"/>
        </w:rPr>
        <w:tab/>
      </w:r>
    </w:p>
    <w:tbl>
      <w:tblPr>
        <w:tblStyle w:val="Tablaconcuadrcula"/>
        <w:tblW w:w="8560" w:type="dxa"/>
        <w:jc w:val="center"/>
        <w:tblLayout w:type="fixed"/>
        <w:tblLook w:val="04A0" w:firstRow="1" w:lastRow="0" w:firstColumn="1" w:lastColumn="0" w:noHBand="0" w:noVBand="1"/>
      </w:tblPr>
      <w:tblGrid>
        <w:gridCol w:w="3652"/>
        <w:gridCol w:w="992"/>
        <w:gridCol w:w="1985"/>
        <w:gridCol w:w="1931"/>
      </w:tblGrid>
      <w:tr w:rsidR="00824B5B" w:rsidRPr="009B12FF" w:rsidTr="00D87795">
        <w:trPr>
          <w:jc w:val="center"/>
        </w:trPr>
        <w:tc>
          <w:tcPr>
            <w:tcW w:w="3652" w:type="dxa"/>
            <w:vAlign w:val="center"/>
          </w:tcPr>
          <w:p w:rsidR="00824B5B" w:rsidRPr="009B12FF" w:rsidRDefault="00824B5B" w:rsidP="00952498">
            <w:pPr>
              <w:jc w:val="center"/>
              <w:rPr>
                <w:rFonts w:ascii="Arial" w:hAnsi="Arial" w:cs="Arial"/>
                <w:b/>
                <w:sz w:val="22"/>
                <w:szCs w:val="22"/>
              </w:rPr>
            </w:pPr>
            <w:r w:rsidRPr="009B12FF">
              <w:rPr>
                <w:rFonts w:ascii="Arial" w:hAnsi="Arial" w:cs="Arial"/>
                <w:b/>
                <w:sz w:val="22"/>
                <w:szCs w:val="22"/>
              </w:rPr>
              <w:t>Fórmula del Indicador</w:t>
            </w:r>
          </w:p>
        </w:tc>
        <w:tc>
          <w:tcPr>
            <w:tcW w:w="992" w:type="dxa"/>
            <w:vAlign w:val="center"/>
          </w:tcPr>
          <w:p w:rsidR="00824B5B" w:rsidRPr="009B12FF" w:rsidRDefault="00824B5B" w:rsidP="00952498">
            <w:pPr>
              <w:jc w:val="center"/>
              <w:rPr>
                <w:rFonts w:ascii="Arial" w:hAnsi="Arial" w:cs="Arial"/>
                <w:b/>
                <w:sz w:val="22"/>
                <w:szCs w:val="22"/>
              </w:rPr>
            </w:pPr>
            <w:r w:rsidRPr="009B12FF">
              <w:rPr>
                <w:rFonts w:ascii="Arial" w:hAnsi="Arial" w:cs="Arial"/>
                <w:b/>
                <w:sz w:val="22"/>
                <w:szCs w:val="22"/>
              </w:rPr>
              <w:t>Meta</w:t>
            </w:r>
          </w:p>
        </w:tc>
        <w:tc>
          <w:tcPr>
            <w:tcW w:w="1985" w:type="dxa"/>
            <w:vAlign w:val="center"/>
          </w:tcPr>
          <w:p w:rsidR="00824B5B" w:rsidRPr="009B12FF" w:rsidRDefault="00824B5B" w:rsidP="00952498">
            <w:pPr>
              <w:jc w:val="center"/>
              <w:rPr>
                <w:rFonts w:ascii="Arial" w:hAnsi="Arial" w:cs="Arial"/>
                <w:b/>
                <w:sz w:val="22"/>
                <w:szCs w:val="22"/>
              </w:rPr>
            </w:pPr>
            <w:r w:rsidRPr="009B12FF">
              <w:rPr>
                <w:rFonts w:ascii="Arial" w:hAnsi="Arial" w:cs="Arial"/>
                <w:b/>
                <w:sz w:val="22"/>
                <w:szCs w:val="22"/>
              </w:rPr>
              <w:t>Real alcanzado</w:t>
            </w:r>
          </w:p>
        </w:tc>
        <w:tc>
          <w:tcPr>
            <w:tcW w:w="1931" w:type="dxa"/>
          </w:tcPr>
          <w:p w:rsidR="00824B5B" w:rsidRPr="009B12FF" w:rsidRDefault="00824B5B" w:rsidP="00952498">
            <w:pPr>
              <w:jc w:val="center"/>
              <w:rPr>
                <w:rFonts w:ascii="Arial" w:hAnsi="Arial" w:cs="Arial"/>
                <w:b/>
                <w:sz w:val="22"/>
                <w:szCs w:val="22"/>
              </w:rPr>
            </w:pPr>
            <w:r w:rsidRPr="009B12FF">
              <w:rPr>
                <w:rFonts w:ascii="Arial" w:hAnsi="Arial" w:cs="Arial"/>
                <w:b/>
                <w:sz w:val="22"/>
                <w:szCs w:val="22"/>
              </w:rPr>
              <w:t>% Cumplimiento</w:t>
            </w:r>
          </w:p>
        </w:tc>
      </w:tr>
      <w:tr w:rsidR="00D87795" w:rsidRPr="009B12FF" w:rsidTr="00D87795">
        <w:trPr>
          <w:jc w:val="center"/>
        </w:trPr>
        <w:tc>
          <w:tcPr>
            <w:tcW w:w="3652" w:type="dxa"/>
            <w:vAlign w:val="center"/>
          </w:tcPr>
          <w:p w:rsidR="00D87795" w:rsidRPr="009B12FF" w:rsidRDefault="00D87795" w:rsidP="00952498">
            <w:pPr>
              <w:jc w:val="both"/>
              <w:rPr>
                <w:rFonts w:ascii="Arial" w:hAnsi="Arial" w:cs="Arial"/>
                <w:sz w:val="22"/>
                <w:szCs w:val="22"/>
                <w:lang w:val="es-ES"/>
              </w:rPr>
            </w:pPr>
            <w:r w:rsidRPr="009B12FF">
              <w:rPr>
                <w:rFonts w:ascii="Arial" w:hAnsi="Arial" w:cs="Arial"/>
                <w:sz w:val="22"/>
                <w:szCs w:val="22"/>
                <w:lang w:val="es-ES"/>
              </w:rPr>
              <w:t>(Utilidades netas después de impuesto año x/ utilidades netas después de año x-1) 100</w:t>
            </w:r>
          </w:p>
        </w:tc>
        <w:tc>
          <w:tcPr>
            <w:tcW w:w="992" w:type="dxa"/>
            <w:vAlign w:val="center"/>
          </w:tcPr>
          <w:p w:rsidR="00D87795" w:rsidRPr="009B12FF" w:rsidRDefault="00D87795" w:rsidP="00D87795">
            <w:pPr>
              <w:jc w:val="center"/>
              <w:rPr>
                <w:rFonts w:ascii="Arial" w:hAnsi="Arial" w:cs="Arial"/>
                <w:sz w:val="22"/>
                <w:szCs w:val="22"/>
              </w:rPr>
            </w:pPr>
            <w:r w:rsidRPr="009B12FF">
              <w:rPr>
                <w:rFonts w:ascii="Arial" w:hAnsi="Arial" w:cs="Arial"/>
                <w:sz w:val="22"/>
                <w:szCs w:val="22"/>
              </w:rPr>
              <w:t>15.39%</w:t>
            </w:r>
          </w:p>
        </w:tc>
        <w:tc>
          <w:tcPr>
            <w:tcW w:w="1985" w:type="dxa"/>
            <w:vAlign w:val="center"/>
          </w:tcPr>
          <w:p w:rsidR="00D87795" w:rsidRPr="009B12FF" w:rsidRDefault="00D87795" w:rsidP="00D87795">
            <w:pPr>
              <w:jc w:val="center"/>
              <w:rPr>
                <w:rFonts w:ascii="Arial" w:hAnsi="Arial" w:cs="Arial"/>
                <w:sz w:val="22"/>
                <w:szCs w:val="22"/>
              </w:rPr>
            </w:pPr>
            <w:r w:rsidRPr="009B12FF">
              <w:rPr>
                <w:rFonts w:ascii="Arial" w:hAnsi="Arial" w:cs="Arial"/>
                <w:sz w:val="22"/>
                <w:szCs w:val="22"/>
              </w:rPr>
              <w:t>16.34%</w:t>
            </w:r>
          </w:p>
        </w:tc>
        <w:tc>
          <w:tcPr>
            <w:tcW w:w="1931" w:type="dxa"/>
          </w:tcPr>
          <w:p w:rsidR="00D87795" w:rsidRPr="009B12FF" w:rsidRDefault="00D87795" w:rsidP="00D87795">
            <w:pPr>
              <w:jc w:val="center"/>
              <w:rPr>
                <w:rFonts w:ascii="Arial" w:hAnsi="Arial" w:cs="Arial"/>
                <w:sz w:val="22"/>
                <w:szCs w:val="22"/>
              </w:rPr>
            </w:pPr>
          </w:p>
          <w:p w:rsidR="00D87795" w:rsidRPr="009B12FF" w:rsidRDefault="00D87795" w:rsidP="00D87795">
            <w:pPr>
              <w:jc w:val="center"/>
              <w:rPr>
                <w:rFonts w:ascii="Arial" w:hAnsi="Arial" w:cs="Arial"/>
                <w:sz w:val="22"/>
                <w:szCs w:val="22"/>
              </w:rPr>
            </w:pPr>
            <w:r w:rsidRPr="009B12FF">
              <w:rPr>
                <w:rFonts w:ascii="Arial" w:hAnsi="Arial" w:cs="Arial"/>
                <w:sz w:val="22"/>
                <w:szCs w:val="22"/>
              </w:rPr>
              <w:t>106.17%</w:t>
            </w:r>
          </w:p>
        </w:tc>
      </w:tr>
    </w:tbl>
    <w:p w:rsidR="00C74F98" w:rsidRPr="009B12FF" w:rsidRDefault="00C74F98" w:rsidP="00493431">
      <w:pPr>
        <w:jc w:val="both"/>
        <w:rPr>
          <w:rFonts w:ascii="Arial" w:hAnsi="Arial" w:cs="Arial"/>
          <w:b/>
          <w:sz w:val="22"/>
          <w:szCs w:val="22"/>
          <w:u w:val="single"/>
        </w:rPr>
      </w:pPr>
    </w:p>
    <w:p w:rsidR="004302FD" w:rsidRPr="009B12FF" w:rsidRDefault="004302FD" w:rsidP="00493431">
      <w:pPr>
        <w:jc w:val="both"/>
        <w:rPr>
          <w:rFonts w:ascii="Arial" w:hAnsi="Arial" w:cs="Arial"/>
          <w:b/>
          <w:sz w:val="22"/>
          <w:szCs w:val="22"/>
          <w:u w:val="single"/>
        </w:rPr>
      </w:pPr>
      <w:r w:rsidRPr="009B12FF">
        <w:rPr>
          <w:rFonts w:ascii="Arial" w:hAnsi="Arial" w:cs="Arial"/>
          <w:b/>
          <w:sz w:val="22"/>
          <w:szCs w:val="22"/>
          <w:u w:val="single"/>
        </w:rPr>
        <w:t xml:space="preserve">Aspectos Positivos: </w:t>
      </w:r>
    </w:p>
    <w:p w:rsidR="004302FD" w:rsidRPr="009B12FF" w:rsidRDefault="004302FD" w:rsidP="00493431">
      <w:pPr>
        <w:jc w:val="both"/>
        <w:rPr>
          <w:rFonts w:ascii="Arial" w:hAnsi="Arial" w:cs="Arial"/>
          <w:b/>
          <w:sz w:val="22"/>
          <w:szCs w:val="22"/>
          <w:u w:val="single"/>
        </w:rPr>
      </w:pPr>
    </w:p>
    <w:p w:rsidR="004302FD" w:rsidRPr="009B12FF" w:rsidRDefault="004302FD" w:rsidP="00493431">
      <w:pPr>
        <w:jc w:val="both"/>
        <w:rPr>
          <w:rFonts w:ascii="Arial" w:hAnsi="Arial" w:cs="Arial"/>
          <w:sz w:val="22"/>
          <w:szCs w:val="22"/>
        </w:rPr>
      </w:pPr>
      <w:r w:rsidRPr="009B12FF">
        <w:rPr>
          <w:rFonts w:ascii="Arial" w:hAnsi="Arial" w:cs="Arial"/>
          <w:sz w:val="22"/>
          <w:szCs w:val="22"/>
        </w:rPr>
        <w:t>El resultado del crecimiento de las utilidades, generó ganancias por ¢31,231,846,257 en el año 2013, en comparación con los ¢26,845,724,440, generados en el año anterior. La comparación de ambos resultados en las utilidades netas por distribuir genera un incremento del 16.34%. Lo anterior muestra un cumplimiento anual respecto a la meta propuesta de un 106.17% y la ubica en la categoría de “Meta Cumplida”.</w:t>
      </w:r>
    </w:p>
    <w:p w:rsidR="004302FD" w:rsidRPr="009B12FF" w:rsidRDefault="004302FD" w:rsidP="00493431">
      <w:pPr>
        <w:jc w:val="both"/>
        <w:rPr>
          <w:rFonts w:ascii="Arial" w:hAnsi="Arial" w:cs="Arial"/>
          <w:sz w:val="22"/>
          <w:szCs w:val="22"/>
        </w:rPr>
      </w:pPr>
    </w:p>
    <w:p w:rsidR="004302FD" w:rsidRPr="009B12FF" w:rsidRDefault="004302FD" w:rsidP="00493431">
      <w:pPr>
        <w:jc w:val="both"/>
        <w:rPr>
          <w:rFonts w:ascii="Arial" w:hAnsi="Arial" w:cs="Arial"/>
          <w:sz w:val="22"/>
          <w:szCs w:val="22"/>
        </w:rPr>
      </w:pPr>
      <w:r w:rsidRPr="009B12FF">
        <w:rPr>
          <w:rFonts w:ascii="Arial" w:hAnsi="Arial" w:cs="Arial"/>
          <w:sz w:val="22"/>
          <w:szCs w:val="22"/>
        </w:rPr>
        <w:t xml:space="preserve">Al obtener un 16.34% de incremento en la Utilidad Neta por Distribuir, permite cumplir con la política institucional de crecer de un año a otro en un cuatro por ciento más inflación.  </w:t>
      </w:r>
    </w:p>
    <w:p w:rsidR="004302FD" w:rsidRPr="009B12FF" w:rsidRDefault="004302FD" w:rsidP="00493431">
      <w:pPr>
        <w:jc w:val="both"/>
        <w:rPr>
          <w:rFonts w:ascii="Arial" w:hAnsi="Arial" w:cs="Arial"/>
          <w:sz w:val="22"/>
          <w:szCs w:val="22"/>
        </w:rPr>
      </w:pPr>
    </w:p>
    <w:p w:rsidR="004302FD" w:rsidRPr="009B12FF" w:rsidRDefault="004302FD" w:rsidP="00493431">
      <w:pPr>
        <w:jc w:val="both"/>
        <w:rPr>
          <w:rFonts w:ascii="Arial" w:hAnsi="Arial" w:cs="Arial"/>
          <w:b/>
          <w:sz w:val="22"/>
          <w:szCs w:val="22"/>
          <w:u w:val="single"/>
        </w:rPr>
      </w:pPr>
      <w:r w:rsidRPr="009B12FF">
        <w:rPr>
          <w:rFonts w:ascii="Arial" w:hAnsi="Arial" w:cs="Arial"/>
          <w:b/>
          <w:sz w:val="22"/>
          <w:szCs w:val="22"/>
          <w:u w:val="single"/>
        </w:rPr>
        <w:t>Aspectos Negativos</w:t>
      </w:r>
    </w:p>
    <w:p w:rsidR="004302FD" w:rsidRPr="009B12FF" w:rsidRDefault="004302FD" w:rsidP="00493431">
      <w:pPr>
        <w:jc w:val="both"/>
        <w:rPr>
          <w:rFonts w:ascii="Arial" w:hAnsi="Arial" w:cs="Arial"/>
          <w:b/>
          <w:sz w:val="22"/>
          <w:szCs w:val="22"/>
          <w:u w:val="single"/>
        </w:rPr>
      </w:pPr>
    </w:p>
    <w:p w:rsidR="004302FD" w:rsidRPr="009B12FF" w:rsidRDefault="004302FD" w:rsidP="00493431">
      <w:pPr>
        <w:jc w:val="both"/>
        <w:rPr>
          <w:rFonts w:ascii="Arial" w:hAnsi="Arial" w:cs="Arial"/>
          <w:sz w:val="22"/>
          <w:szCs w:val="22"/>
        </w:rPr>
      </w:pPr>
      <w:r w:rsidRPr="009B12FF">
        <w:rPr>
          <w:rFonts w:ascii="Arial" w:hAnsi="Arial" w:cs="Arial"/>
          <w:sz w:val="22"/>
          <w:szCs w:val="22"/>
        </w:rPr>
        <w:t>Se reitera que el aspecto interno que más afecta este indicador se encuentra en las variaciones que produce la devolución de la lotería, ya que a nivel anual llegó a producir un 54.21% por ese concepto con respecto al año 2012. El año 2013 fue un año atípico (periodo comprendido entre noviembre 2012 a octubre 2013), se tuvo que enfrentar un huelga de vendedores de lotería en el mes de agosto 2013, lo que provocó un aumento en la devolución en general. Otro factor que afecto las ventas fue el hecho que para el sorteo “Extraordinario de Navidad” del año 2012 y para el sorteo “Extraordinario Gordito de Medio Año” del año 2013, el premio mayor no fue retirado por los adjudicatarios de lotería, quedando en las arcas de la Institución, lo que provocó una reacción negativa en los jugadores. Ante esta situación la Junta de Protección Social implementó una serie de medidas para atraer a esos consumidores insatisfechos, por lo que se ofrecieron premios adicionales en la Lotería Popular y el premio acumulado en la Lotería Nacional; así como promover un mayor desempeño de los adjudicatarios otorgando incentivos a los mismos.</w:t>
      </w:r>
    </w:p>
    <w:p w:rsidR="004302FD" w:rsidRPr="009B12FF" w:rsidRDefault="004302FD" w:rsidP="00493431">
      <w:pPr>
        <w:jc w:val="both"/>
        <w:rPr>
          <w:rFonts w:ascii="Arial" w:hAnsi="Arial" w:cs="Arial"/>
          <w:sz w:val="22"/>
          <w:szCs w:val="22"/>
        </w:rPr>
      </w:pPr>
    </w:p>
    <w:p w:rsidR="004302FD" w:rsidRPr="009B12FF" w:rsidRDefault="004302FD" w:rsidP="00493431">
      <w:pPr>
        <w:jc w:val="both"/>
        <w:rPr>
          <w:rFonts w:ascii="Arial" w:hAnsi="Arial" w:cs="Arial"/>
          <w:sz w:val="22"/>
          <w:szCs w:val="22"/>
        </w:rPr>
      </w:pPr>
      <w:r w:rsidRPr="009B12FF">
        <w:rPr>
          <w:rFonts w:ascii="Arial" w:hAnsi="Arial" w:cs="Arial"/>
          <w:sz w:val="22"/>
          <w:szCs w:val="22"/>
        </w:rPr>
        <w:t xml:space="preserve">En cuanto a los premios no cambiados, refleja un aumento de un 2,778.38% entre los años 2012 y 2013, lo anterior se produce en gran parte por los premios que el consumidor no presenta para su cambio, o bien,  por la lotería no retirada o que es devuelta por los adjudicatarios de lotería.  Lo anterior produce que si los premios no son cambiados se genere un aumento  en las utilidades, sin embargo, de ser contrario se produce una disminución de estas. </w:t>
      </w:r>
    </w:p>
    <w:p w:rsidR="004302FD" w:rsidRPr="009B12FF" w:rsidRDefault="004302FD" w:rsidP="00493431">
      <w:pPr>
        <w:jc w:val="both"/>
        <w:rPr>
          <w:rFonts w:ascii="Arial" w:hAnsi="Arial" w:cs="Arial"/>
          <w:sz w:val="22"/>
          <w:szCs w:val="22"/>
        </w:rPr>
      </w:pPr>
    </w:p>
    <w:p w:rsidR="004302FD" w:rsidRPr="009B12FF" w:rsidRDefault="004302FD" w:rsidP="00493431">
      <w:pPr>
        <w:jc w:val="both"/>
        <w:rPr>
          <w:rFonts w:ascii="Arial" w:hAnsi="Arial" w:cs="Arial"/>
          <w:sz w:val="22"/>
          <w:szCs w:val="22"/>
        </w:rPr>
      </w:pPr>
      <w:r w:rsidRPr="009B12FF">
        <w:rPr>
          <w:rFonts w:ascii="Arial" w:hAnsi="Arial" w:cs="Arial"/>
          <w:sz w:val="22"/>
          <w:szCs w:val="22"/>
        </w:rPr>
        <w:t>Dentro de las medidas que se implementaron para minimizar estos efectos fue ofrecer premios adicionales en la Lotería Popular y el premio acumulado en la Lotería Nacional para atraer a los consumidores insatisfechos; así como promover un mayor desempeño de los adjudicatarios otorgando incentivos a los mismos. También se emprendió la divulgación del resultado de los premios por diversos medios de comunicación masiva, y a lo interno ha sido la adjudicación de lotería a una nueva fuerza de ventas. Adicionalmente se elabora una constante revisión a los planes de premios para satisfacer los gustos y preferencia de los consumidores.</w:t>
      </w:r>
    </w:p>
    <w:p w:rsidR="004302FD" w:rsidRDefault="004302FD" w:rsidP="00493431">
      <w:pPr>
        <w:jc w:val="both"/>
        <w:rPr>
          <w:rFonts w:ascii="Bookman Old Style" w:hAnsi="Bookman Old Style" w:cs="Calibri"/>
          <w:sz w:val="20"/>
          <w:szCs w:val="20"/>
        </w:rPr>
      </w:pPr>
    </w:p>
    <w:p w:rsidR="00DC49DC" w:rsidRDefault="00DC49DC" w:rsidP="00493431">
      <w:pPr>
        <w:jc w:val="both"/>
        <w:rPr>
          <w:rFonts w:ascii="Bookman Old Style" w:hAnsi="Bookman Old Style" w:cs="Calibri"/>
          <w:sz w:val="20"/>
          <w:szCs w:val="20"/>
        </w:rPr>
      </w:pPr>
    </w:p>
    <w:p w:rsidR="00DC49DC" w:rsidRDefault="00DC49DC" w:rsidP="00493431">
      <w:pPr>
        <w:jc w:val="both"/>
        <w:rPr>
          <w:rFonts w:ascii="Bookman Old Style" w:hAnsi="Bookman Old Style" w:cs="Calibri"/>
          <w:sz w:val="20"/>
          <w:szCs w:val="20"/>
        </w:rPr>
      </w:pPr>
    </w:p>
    <w:p w:rsidR="00DC49DC" w:rsidRDefault="00DC49DC" w:rsidP="00493431">
      <w:pPr>
        <w:jc w:val="both"/>
        <w:rPr>
          <w:rFonts w:ascii="Bookman Old Style" w:hAnsi="Bookman Old Style" w:cs="Calibri"/>
          <w:sz w:val="20"/>
          <w:szCs w:val="20"/>
        </w:rPr>
      </w:pPr>
    </w:p>
    <w:p w:rsidR="00DC49DC" w:rsidRDefault="00DC49DC" w:rsidP="00493431">
      <w:pPr>
        <w:jc w:val="both"/>
        <w:rPr>
          <w:rFonts w:ascii="Bookman Old Style" w:hAnsi="Bookman Old Style" w:cs="Calibri"/>
          <w:sz w:val="20"/>
          <w:szCs w:val="20"/>
        </w:rPr>
      </w:pPr>
    </w:p>
    <w:p w:rsidR="00DC49DC" w:rsidRDefault="00DC49DC" w:rsidP="00493431">
      <w:pPr>
        <w:jc w:val="both"/>
        <w:rPr>
          <w:rFonts w:ascii="Bookman Old Style" w:hAnsi="Bookman Old Style" w:cs="Calibri"/>
          <w:sz w:val="20"/>
          <w:szCs w:val="20"/>
        </w:rPr>
      </w:pPr>
    </w:p>
    <w:p w:rsidR="00DC49DC" w:rsidRDefault="00DC49DC" w:rsidP="00493431">
      <w:pPr>
        <w:jc w:val="both"/>
        <w:rPr>
          <w:rFonts w:ascii="Bookman Old Style" w:hAnsi="Bookman Old Style" w:cs="Calibri"/>
          <w:sz w:val="20"/>
          <w:szCs w:val="20"/>
        </w:rPr>
      </w:pPr>
    </w:p>
    <w:p w:rsidR="00DC49DC" w:rsidRDefault="00DC49DC" w:rsidP="00493431">
      <w:pPr>
        <w:jc w:val="both"/>
        <w:rPr>
          <w:rFonts w:ascii="Bookman Old Style" w:hAnsi="Bookman Old Style" w:cs="Calibri"/>
          <w:sz w:val="20"/>
          <w:szCs w:val="20"/>
        </w:rPr>
      </w:pPr>
    </w:p>
    <w:p w:rsidR="00DC49DC" w:rsidRDefault="00DC49DC" w:rsidP="00493431">
      <w:pPr>
        <w:jc w:val="both"/>
        <w:rPr>
          <w:rFonts w:ascii="Bookman Old Style" w:hAnsi="Bookman Old Style" w:cs="Calibri"/>
          <w:sz w:val="20"/>
          <w:szCs w:val="20"/>
        </w:rPr>
      </w:pPr>
    </w:p>
    <w:p w:rsidR="00DC49DC" w:rsidRDefault="00DC49DC" w:rsidP="00493431">
      <w:pPr>
        <w:jc w:val="both"/>
        <w:rPr>
          <w:rFonts w:ascii="Bookman Old Style" w:hAnsi="Bookman Old Style" w:cs="Calibri"/>
          <w:sz w:val="20"/>
          <w:szCs w:val="20"/>
        </w:rPr>
      </w:pPr>
    </w:p>
    <w:p w:rsidR="00DC49DC" w:rsidRDefault="00DC49DC" w:rsidP="00493431">
      <w:pPr>
        <w:jc w:val="both"/>
        <w:rPr>
          <w:rFonts w:ascii="Bookman Old Style" w:hAnsi="Bookman Old Style" w:cs="Calibri"/>
          <w:sz w:val="20"/>
          <w:szCs w:val="20"/>
        </w:rPr>
      </w:pPr>
    </w:p>
    <w:p w:rsidR="00DC49DC" w:rsidRDefault="00DC49DC" w:rsidP="00493431">
      <w:pPr>
        <w:jc w:val="both"/>
        <w:rPr>
          <w:rFonts w:ascii="Bookman Old Style" w:hAnsi="Bookman Old Style" w:cs="Calibri"/>
          <w:sz w:val="20"/>
          <w:szCs w:val="20"/>
        </w:rPr>
      </w:pPr>
    </w:p>
    <w:p w:rsidR="00DC49DC" w:rsidRDefault="00DC49DC" w:rsidP="00493431">
      <w:pPr>
        <w:jc w:val="both"/>
        <w:rPr>
          <w:rFonts w:ascii="Bookman Old Style" w:hAnsi="Bookman Old Style" w:cs="Calibri"/>
          <w:sz w:val="20"/>
          <w:szCs w:val="20"/>
        </w:rPr>
      </w:pPr>
    </w:p>
    <w:p w:rsidR="00DC49DC" w:rsidRDefault="00DC49DC" w:rsidP="00493431">
      <w:pPr>
        <w:jc w:val="both"/>
        <w:rPr>
          <w:rFonts w:ascii="Bookman Old Style" w:hAnsi="Bookman Old Style" w:cs="Calibri"/>
          <w:sz w:val="20"/>
          <w:szCs w:val="20"/>
        </w:rPr>
      </w:pPr>
    </w:p>
    <w:p w:rsidR="00DC49DC" w:rsidRDefault="00DC49DC" w:rsidP="00493431">
      <w:pPr>
        <w:jc w:val="both"/>
        <w:rPr>
          <w:rFonts w:ascii="Bookman Old Style" w:hAnsi="Bookman Old Style" w:cs="Calibri"/>
          <w:sz w:val="20"/>
          <w:szCs w:val="20"/>
        </w:rPr>
      </w:pPr>
    </w:p>
    <w:p w:rsidR="00DC49DC" w:rsidRDefault="00DC49DC" w:rsidP="00493431">
      <w:pPr>
        <w:jc w:val="both"/>
        <w:rPr>
          <w:rFonts w:ascii="Bookman Old Style" w:hAnsi="Bookman Old Style" w:cs="Calibri"/>
          <w:sz w:val="20"/>
          <w:szCs w:val="20"/>
        </w:rPr>
      </w:pPr>
    </w:p>
    <w:p w:rsidR="00DC49DC" w:rsidRDefault="00DC49DC" w:rsidP="00493431">
      <w:pPr>
        <w:jc w:val="both"/>
        <w:rPr>
          <w:rFonts w:ascii="Bookman Old Style" w:hAnsi="Bookman Old Style" w:cs="Calibri"/>
          <w:sz w:val="20"/>
          <w:szCs w:val="20"/>
        </w:rPr>
      </w:pPr>
    </w:p>
    <w:p w:rsidR="00DC49DC" w:rsidRDefault="00DC49DC" w:rsidP="00493431">
      <w:pPr>
        <w:jc w:val="both"/>
        <w:rPr>
          <w:rFonts w:ascii="Bookman Old Style" w:hAnsi="Bookman Old Style" w:cs="Calibri"/>
          <w:sz w:val="20"/>
          <w:szCs w:val="20"/>
        </w:rPr>
      </w:pPr>
    </w:p>
    <w:p w:rsidR="00DC49DC" w:rsidRDefault="00DC49DC" w:rsidP="00493431">
      <w:pPr>
        <w:jc w:val="both"/>
        <w:rPr>
          <w:rFonts w:ascii="Bookman Old Style" w:hAnsi="Bookman Old Style" w:cs="Calibri"/>
          <w:sz w:val="20"/>
          <w:szCs w:val="20"/>
        </w:rPr>
      </w:pPr>
    </w:p>
    <w:p w:rsidR="00DC49DC" w:rsidRDefault="00DC49DC" w:rsidP="00493431">
      <w:pPr>
        <w:jc w:val="both"/>
        <w:rPr>
          <w:rFonts w:ascii="Bookman Old Style" w:hAnsi="Bookman Old Style" w:cs="Calibri"/>
          <w:sz w:val="20"/>
          <w:szCs w:val="20"/>
        </w:rPr>
      </w:pPr>
    </w:p>
    <w:p w:rsidR="00DC49DC" w:rsidRDefault="00DC49DC" w:rsidP="00493431">
      <w:pPr>
        <w:jc w:val="both"/>
        <w:rPr>
          <w:rFonts w:ascii="Bookman Old Style" w:hAnsi="Bookman Old Style" w:cs="Calibri"/>
          <w:sz w:val="20"/>
          <w:szCs w:val="20"/>
        </w:rPr>
      </w:pPr>
    </w:p>
    <w:p w:rsidR="00DC49DC" w:rsidRDefault="00DC49DC" w:rsidP="00493431">
      <w:pPr>
        <w:jc w:val="both"/>
        <w:rPr>
          <w:rFonts w:ascii="Bookman Old Style" w:hAnsi="Bookman Old Style" w:cs="Calibri"/>
          <w:sz w:val="20"/>
          <w:szCs w:val="20"/>
        </w:rPr>
      </w:pPr>
    </w:p>
    <w:p w:rsidR="00DC49DC" w:rsidRDefault="00DC49DC" w:rsidP="00493431">
      <w:pPr>
        <w:jc w:val="both"/>
        <w:rPr>
          <w:rFonts w:ascii="Bookman Old Style" w:hAnsi="Bookman Old Style" w:cs="Calibri"/>
          <w:sz w:val="20"/>
          <w:szCs w:val="20"/>
        </w:rPr>
      </w:pPr>
    </w:p>
    <w:p w:rsidR="00DC49DC" w:rsidRDefault="00DC49DC" w:rsidP="00493431">
      <w:pPr>
        <w:jc w:val="both"/>
        <w:rPr>
          <w:rFonts w:ascii="Bookman Old Style" w:hAnsi="Bookman Old Style" w:cs="Calibri"/>
          <w:sz w:val="20"/>
          <w:szCs w:val="20"/>
        </w:rPr>
      </w:pPr>
    </w:p>
    <w:p w:rsidR="00DC49DC" w:rsidRDefault="00DC49DC" w:rsidP="00493431">
      <w:pPr>
        <w:jc w:val="both"/>
        <w:rPr>
          <w:rFonts w:ascii="Bookman Old Style" w:hAnsi="Bookman Old Style" w:cs="Calibri"/>
          <w:sz w:val="20"/>
          <w:szCs w:val="20"/>
        </w:rPr>
      </w:pPr>
    </w:p>
    <w:p w:rsidR="00DC49DC" w:rsidRDefault="00DC49DC" w:rsidP="00493431">
      <w:pPr>
        <w:jc w:val="both"/>
        <w:rPr>
          <w:rFonts w:ascii="Bookman Old Style" w:hAnsi="Bookman Old Style" w:cs="Calibri"/>
          <w:sz w:val="20"/>
          <w:szCs w:val="20"/>
        </w:rPr>
      </w:pPr>
    </w:p>
    <w:p w:rsidR="00DC49DC" w:rsidRDefault="00DC49DC" w:rsidP="00493431">
      <w:pPr>
        <w:jc w:val="both"/>
        <w:rPr>
          <w:rFonts w:ascii="Bookman Old Style" w:hAnsi="Bookman Old Style" w:cs="Calibri"/>
          <w:sz w:val="20"/>
          <w:szCs w:val="20"/>
        </w:rPr>
      </w:pPr>
    </w:p>
    <w:p w:rsidR="00DC49DC" w:rsidRDefault="00DC49DC" w:rsidP="00493431">
      <w:pPr>
        <w:jc w:val="both"/>
        <w:rPr>
          <w:rFonts w:ascii="Bookman Old Style" w:hAnsi="Bookman Old Style" w:cs="Calibri"/>
          <w:sz w:val="20"/>
          <w:szCs w:val="20"/>
        </w:rPr>
      </w:pPr>
    </w:p>
    <w:p w:rsidR="00DC49DC" w:rsidRDefault="00DC49DC" w:rsidP="00493431">
      <w:pPr>
        <w:jc w:val="both"/>
        <w:rPr>
          <w:rFonts w:ascii="Bookman Old Style" w:hAnsi="Bookman Old Style" w:cs="Calibri"/>
          <w:sz w:val="20"/>
          <w:szCs w:val="20"/>
        </w:rPr>
      </w:pPr>
    </w:p>
    <w:p w:rsidR="00DC49DC" w:rsidRDefault="00DC49DC" w:rsidP="00493431">
      <w:pPr>
        <w:jc w:val="both"/>
        <w:rPr>
          <w:rFonts w:ascii="Bookman Old Style" w:hAnsi="Bookman Old Style" w:cs="Calibri"/>
          <w:sz w:val="20"/>
          <w:szCs w:val="20"/>
        </w:rPr>
      </w:pPr>
    </w:p>
    <w:p w:rsidR="00DC49DC" w:rsidRPr="009B12FF" w:rsidRDefault="00DC49DC" w:rsidP="00493431">
      <w:pPr>
        <w:jc w:val="both"/>
        <w:rPr>
          <w:rFonts w:ascii="Bookman Old Style" w:hAnsi="Bookman Old Style" w:cs="Calibri"/>
          <w:sz w:val="20"/>
          <w:szCs w:val="20"/>
        </w:rPr>
      </w:pPr>
    </w:p>
    <w:p w:rsidR="001C58D0" w:rsidRPr="009B12FF" w:rsidRDefault="001C58D0" w:rsidP="00493431">
      <w:pPr>
        <w:jc w:val="both"/>
        <w:rPr>
          <w:rFonts w:ascii="Arial" w:hAnsi="Arial" w:cs="Arial"/>
          <w:sz w:val="22"/>
          <w:szCs w:val="22"/>
        </w:rPr>
      </w:pPr>
      <w:r w:rsidRPr="009B12FF">
        <w:rPr>
          <w:rFonts w:ascii="Arial" w:hAnsi="Arial" w:cs="Arial"/>
          <w:sz w:val="22"/>
          <w:szCs w:val="22"/>
        </w:rPr>
        <w:t xml:space="preserve">A continuación se presenta cuadro comparativo de ventas y </w:t>
      </w:r>
      <w:r w:rsidR="00515651" w:rsidRPr="009B12FF">
        <w:rPr>
          <w:rFonts w:ascii="Arial" w:hAnsi="Arial" w:cs="Arial"/>
          <w:sz w:val="22"/>
          <w:szCs w:val="22"/>
        </w:rPr>
        <w:t>utilidades</w:t>
      </w:r>
      <w:r w:rsidR="000134B8" w:rsidRPr="009B12FF">
        <w:rPr>
          <w:rFonts w:ascii="Arial" w:hAnsi="Arial" w:cs="Arial"/>
          <w:sz w:val="22"/>
          <w:szCs w:val="22"/>
        </w:rPr>
        <w:t xml:space="preserve"> para el IV trimestre 2012 y IV</w:t>
      </w:r>
      <w:r w:rsidR="00586F8B" w:rsidRPr="009B12FF">
        <w:rPr>
          <w:rFonts w:ascii="Arial" w:hAnsi="Arial" w:cs="Arial"/>
          <w:sz w:val="22"/>
          <w:szCs w:val="22"/>
        </w:rPr>
        <w:t xml:space="preserve"> </w:t>
      </w:r>
      <w:r w:rsidR="000134B8" w:rsidRPr="009B12FF">
        <w:rPr>
          <w:rFonts w:ascii="Arial" w:hAnsi="Arial" w:cs="Arial"/>
          <w:sz w:val="22"/>
          <w:szCs w:val="22"/>
        </w:rPr>
        <w:t>trimestre 2013</w:t>
      </w:r>
      <w:r w:rsidRPr="009B12FF">
        <w:rPr>
          <w:rFonts w:ascii="Arial" w:hAnsi="Arial" w:cs="Arial"/>
          <w:sz w:val="22"/>
          <w:szCs w:val="22"/>
        </w:rPr>
        <w:t>, periodo en que se evalúan los indicadores propuestos en el POI.</w:t>
      </w:r>
    </w:p>
    <w:p w:rsidR="00C74F98" w:rsidRPr="009B12FF" w:rsidRDefault="00C74F98" w:rsidP="00493431">
      <w:pPr>
        <w:jc w:val="both"/>
        <w:rPr>
          <w:rFonts w:ascii="Arial" w:hAnsi="Arial" w:cs="Arial"/>
          <w:sz w:val="22"/>
          <w:szCs w:val="22"/>
        </w:rPr>
      </w:pPr>
    </w:p>
    <w:p w:rsidR="005D0B92" w:rsidRPr="009B12FF" w:rsidRDefault="005D0B92" w:rsidP="005D0B92">
      <w:pPr>
        <w:jc w:val="center"/>
        <w:rPr>
          <w:rFonts w:ascii="Arial" w:hAnsi="Arial" w:cs="Arial"/>
          <w:b/>
          <w:sz w:val="22"/>
          <w:szCs w:val="22"/>
        </w:rPr>
      </w:pPr>
      <w:r w:rsidRPr="009B12FF">
        <w:rPr>
          <w:rFonts w:ascii="Arial" w:hAnsi="Arial" w:cs="Arial"/>
          <w:b/>
          <w:sz w:val="22"/>
          <w:szCs w:val="22"/>
        </w:rPr>
        <w:t>Cuadro comparativo para la evaluación POI 2012-2013</w:t>
      </w:r>
    </w:p>
    <w:tbl>
      <w:tblPr>
        <w:tblW w:w="8662" w:type="dxa"/>
        <w:tblInd w:w="55" w:type="dxa"/>
        <w:tblLayout w:type="fixed"/>
        <w:tblCellMar>
          <w:left w:w="70" w:type="dxa"/>
          <w:right w:w="70" w:type="dxa"/>
        </w:tblCellMar>
        <w:tblLook w:val="04A0" w:firstRow="1" w:lastRow="0" w:firstColumn="1" w:lastColumn="0" w:noHBand="0" w:noVBand="1"/>
      </w:tblPr>
      <w:tblGrid>
        <w:gridCol w:w="2992"/>
        <w:gridCol w:w="2268"/>
        <w:gridCol w:w="2268"/>
        <w:gridCol w:w="1134"/>
      </w:tblGrid>
      <w:tr w:rsidR="008E265E" w:rsidRPr="00965E2C" w:rsidTr="00C26505">
        <w:trPr>
          <w:trHeight w:val="315"/>
        </w:trPr>
        <w:tc>
          <w:tcPr>
            <w:tcW w:w="2992" w:type="dxa"/>
            <w:tcBorders>
              <w:top w:val="single" w:sz="12" w:space="0" w:color="auto"/>
              <w:left w:val="single" w:sz="8" w:space="0" w:color="auto"/>
              <w:bottom w:val="nil"/>
              <w:right w:val="single" w:sz="8" w:space="0" w:color="auto"/>
            </w:tcBorders>
            <w:shd w:val="clear" w:color="000000" w:fill="92D050"/>
            <w:vAlign w:val="center"/>
            <w:hideMark/>
          </w:tcPr>
          <w:p w:rsidR="005D0B92" w:rsidRPr="00965E2C" w:rsidRDefault="005D0B92" w:rsidP="00135E30">
            <w:pPr>
              <w:jc w:val="center"/>
              <w:rPr>
                <w:rFonts w:ascii="Arial" w:hAnsi="Arial" w:cs="Arial"/>
                <w:b/>
                <w:bCs/>
                <w:sz w:val="20"/>
                <w:szCs w:val="20"/>
                <w:lang w:val="es-CR" w:eastAsia="es-CR"/>
              </w:rPr>
            </w:pPr>
            <w:r w:rsidRPr="00965E2C">
              <w:rPr>
                <w:rFonts w:ascii="Arial" w:hAnsi="Arial" w:cs="Arial"/>
                <w:b/>
                <w:bCs/>
                <w:sz w:val="20"/>
                <w:szCs w:val="20"/>
                <w:lang w:val="es-CR" w:eastAsia="es-CR"/>
              </w:rPr>
              <w:t> </w:t>
            </w:r>
          </w:p>
        </w:tc>
        <w:tc>
          <w:tcPr>
            <w:tcW w:w="2268" w:type="dxa"/>
            <w:tcBorders>
              <w:top w:val="single" w:sz="12" w:space="0" w:color="auto"/>
              <w:left w:val="single" w:sz="8" w:space="0" w:color="auto"/>
              <w:bottom w:val="nil"/>
              <w:right w:val="nil"/>
            </w:tcBorders>
            <w:shd w:val="clear" w:color="000000" w:fill="93CDDD"/>
            <w:vAlign w:val="center"/>
            <w:hideMark/>
          </w:tcPr>
          <w:p w:rsidR="005D0B92" w:rsidRPr="00965E2C" w:rsidRDefault="005D0B92" w:rsidP="00135E30">
            <w:pPr>
              <w:jc w:val="center"/>
              <w:rPr>
                <w:rFonts w:ascii="Arial" w:hAnsi="Arial" w:cs="Arial"/>
                <w:b/>
                <w:bCs/>
                <w:sz w:val="20"/>
                <w:szCs w:val="20"/>
                <w:lang w:val="es-CR" w:eastAsia="es-CR"/>
              </w:rPr>
            </w:pPr>
            <w:r w:rsidRPr="00965E2C">
              <w:rPr>
                <w:rFonts w:ascii="Arial" w:hAnsi="Arial" w:cs="Arial"/>
                <w:b/>
                <w:bCs/>
                <w:sz w:val="20"/>
                <w:szCs w:val="20"/>
                <w:lang w:val="es-CR" w:eastAsia="es-CR"/>
              </w:rPr>
              <w:t>IV Trimestre 2012</w:t>
            </w:r>
          </w:p>
        </w:tc>
        <w:tc>
          <w:tcPr>
            <w:tcW w:w="2268" w:type="dxa"/>
            <w:tcBorders>
              <w:top w:val="single" w:sz="12" w:space="0" w:color="auto"/>
              <w:left w:val="single" w:sz="8" w:space="0" w:color="auto"/>
              <w:bottom w:val="nil"/>
              <w:right w:val="single" w:sz="8" w:space="0" w:color="auto"/>
            </w:tcBorders>
            <w:shd w:val="clear" w:color="000000" w:fill="93CDDD"/>
            <w:vAlign w:val="center"/>
            <w:hideMark/>
          </w:tcPr>
          <w:p w:rsidR="005D0B92" w:rsidRPr="00965E2C" w:rsidRDefault="005D0B92" w:rsidP="00135E30">
            <w:pPr>
              <w:jc w:val="center"/>
              <w:rPr>
                <w:rFonts w:ascii="Arial" w:hAnsi="Arial" w:cs="Arial"/>
                <w:b/>
                <w:bCs/>
                <w:sz w:val="20"/>
                <w:szCs w:val="20"/>
                <w:lang w:val="es-CR" w:eastAsia="es-CR"/>
              </w:rPr>
            </w:pPr>
            <w:r w:rsidRPr="00965E2C">
              <w:rPr>
                <w:rFonts w:ascii="Arial" w:hAnsi="Arial" w:cs="Arial"/>
                <w:b/>
                <w:bCs/>
                <w:sz w:val="20"/>
                <w:szCs w:val="20"/>
                <w:lang w:val="es-CR" w:eastAsia="es-CR"/>
              </w:rPr>
              <w:t>IV Trimestre 2013</w:t>
            </w:r>
          </w:p>
        </w:tc>
        <w:tc>
          <w:tcPr>
            <w:tcW w:w="1134" w:type="dxa"/>
            <w:vMerge w:val="restart"/>
            <w:tcBorders>
              <w:top w:val="single" w:sz="12" w:space="0" w:color="auto"/>
              <w:left w:val="single" w:sz="8" w:space="0" w:color="auto"/>
              <w:bottom w:val="single" w:sz="8" w:space="0" w:color="000000"/>
              <w:right w:val="single" w:sz="8" w:space="0" w:color="auto"/>
            </w:tcBorders>
            <w:shd w:val="clear" w:color="000000" w:fill="93CDDD"/>
            <w:vAlign w:val="center"/>
            <w:hideMark/>
          </w:tcPr>
          <w:p w:rsidR="005D0B92" w:rsidRPr="00965E2C" w:rsidRDefault="00770A09" w:rsidP="00135E30">
            <w:pPr>
              <w:jc w:val="center"/>
              <w:rPr>
                <w:rFonts w:ascii="Arial" w:hAnsi="Arial" w:cs="Arial"/>
                <w:b/>
                <w:bCs/>
                <w:sz w:val="20"/>
                <w:szCs w:val="20"/>
                <w:lang w:val="es-CR" w:eastAsia="es-CR"/>
              </w:rPr>
            </w:pPr>
            <w:r>
              <w:rPr>
                <w:rFonts w:ascii="Arial" w:hAnsi="Arial" w:cs="Arial"/>
                <w:b/>
                <w:bCs/>
                <w:sz w:val="20"/>
                <w:szCs w:val="20"/>
                <w:lang w:val="es-CR" w:eastAsia="es-CR"/>
              </w:rPr>
              <w:t>Variación</w:t>
            </w:r>
            <w:r w:rsidR="005D0B92" w:rsidRPr="00965E2C">
              <w:rPr>
                <w:rFonts w:ascii="Arial" w:hAnsi="Arial" w:cs="Arial"/>
                <w:b/>
                <w:bCs/>
                <w:sz w:val="20"/>
                <w:szCs w:val="20"/>
                <w:lang w:val="es-CR" w:eastAsia="es-CR"/>
              </w:rPr>
              <w:t xml:space="preserve"> </w:t>
            </w:r>
          </w:p>
        </w:tc>
      </w:tr>
      <w:tr w:rsidR="008E265E" w:rsidRPr="00965E2C" w:rsidTr="00C26505">
        <w:trPr>
          <w:trHeight w:val="315"/>
        </w:trPr>
        <w:tc>
          <w:tcPr>
            <w:tcW w:w="2992" w:type="dxa"/>
            <w:tcBorders>
              <w:top w:val="single" w:sz="8" w:space="0" w:color="auto"/>
              <w:left w:val="single" w:sz="8" w:space="0" w:color="auto"/>
              <w:bottom w:val="single" w:sz="8" w:space="0" w:color="auto"/>
              <w:right w:val="single" w:sz="8" w:space="0" w:color="auto"/>
            </w:tcBorders>
            <w:shd w:val="clear" w:color="000000" w:fill="92D050"/>
            <w:vAlign w:val="center"/>
            <w:hideMark/>
          </w:tcPr>
          <w:p w:rsidR="005D0B92" w:rsidRPr="00965E2C" w:rsidRDefault="005D0B92" w:rsidP="00135E30">
            <w:pPr>
              <w:jc w:val="center"/>
              <w:rPr>
                <w:rFonts w:ascii="Arial" w:hAnsi="Arial" w:cs="Arial"/>
                <w:b/>
                <w:bCs/>
                <w:sz w:val="20"/>
                <w:szCs w:val="20"/>
                <w:lang w:val="es-CR" w:eastAsia="es-CR"/>
              </w:rPr>
            </w:pPr>
            <w:r w:rsidRPr="00965E2C">
              <w:rPr>
                <w:rFonts w:ascii="Arial" w:hAnsi="Arial" w:cs="Arial"/>
                <w:b/>
                <w:bCs/>
                <w:sz w:val="20"/>
                <w:szCs w:val="20"/>
                <w:lang w:val="es-CR" w:eastAsia="es-CR"/>
              </w:rPr>
              <w:t> </w:t>
            </w:r>
          </w:p>
        </w:tc>
        <w:tc>
          <w:tcPr>
            <w:tcW w:w="2268" w:type="dxa"/>
            <w:tcBorders>
              <w:top w:val="single" w:sz="8" w:space="0" w:color="auto"/>
              <w:left w:val="single" w:sz="8" w:space="0" w:color="auto"/>
              <w:bottom w:val="single" w:sz="8" w:space="0" w:color="auto"/>
              <w:right w:val="nil"/>
            </w:tcBorders>
            <w:shd w:val="clear" w:color="000000" w:fill="93CDDD"/>
            <w:vAlign w:val="center"/>
            <w:hideMark/>
          </w:tcPr>
          <w:p w:rsidR="005D0B92" w:rsidRPr="00965E2C" w:rsidRDefault="005D0B92" w:rsidP="00135E30">
            <w:pPr>
              <w:jc w:val="center"/>
              <w:rPr>
                <w:rFonts w:ascii="Arial" w:hAnsi="Arial" w:cs="Arial"/>
                <w:b/>
                <w:bCs/>
                <w:sz w:val="20"/>
                <w:szCs w:val="20"/>
                <w:lang w:val="es-CR" w:eastAsia="es-CR"/>
              </w:rPr>
            </w:pPr>
            <w:r w:rsidRPr="00965E2C">
              <w:rPr>
                <w:rFonts w:ascii="Arial" w:hAnsi="Arial" w:cs="Arial"/>
                <w:b/>
                <w:bCs/>
                <w:sz w:val="20"/>
                <w:szCs w:val="20"/>
                <w:lang w:val="es-CR" w:eastAsia="es-CR"/>
              </w:rPr>
              <w:t>Total Liquidado 2012</w:t>
            </w:r>
          </w:p>
        </w:tc>
        <w:tc>
          <w:tcPr>
            <w:tcW w:w="2268" w:type="dxa"/>
            <w:tcBorders>
              <w:top w:val="single" w:sz="8" w:space="0" w:color="auto"/>
              <w:left w:val="single" w:sz="8" w:space="0" w:color="auto"/>
              <w:bottom w:val="single" w:sz="8" w:space="0" w:color="auto"/>
              <w:right w:val="single" w:sz="8" w:space="0" w:color="auto"/>
            </w:tcBorders>
            <w:shd w:val="clear" w:color="000000" w:fill="93CDDD"/>
            <w:vAlign w:val="center"/>
            <w:hideMark/>
          </w:tcPr>
          <w:p w:rsidR="005D0B92" w:rsidRPr="00965E2C" w:rsidRDefault="005D0B92" w:rsidP="00135E30">
            <w:pPr>
              <w:jc w:val="center"/>
              <w:rPr>
                <w:rFonts w:ascii="Arial" w:hAnsi="Arial" w:cs="Arial"/>
                <w:b/>
                <w:bCs/>
                <w:sz w:val="20"/>
                <w:szCs w:val="20"/>
                <w:lang w:val="es-CR" w:eastAsia="es-CR"/>
              </w:rPr>
            </w:pPr>
            <w:r w:rsidRPr="00965E2C">
              <w:rPr>
                <w:rFonts w:ascii="Arial" w:hAnsi="Arial" w:cs="Arial"/>
                <w:b/>
                <w:bCs/>
                <w:sz w:val="20"/>
                <w:szCs w:val="20"/>
                <w:lang w:val="es-CR" w:eastAsia="es-CR"/>
              </w:rPr>
              <w:t>Total Liquidado 2013</w:t>
            </w:r>
          </w:p>
        </w:tc>
        <w:tc>
          <w:tcPr>
            <w:tcW w:w="1134" w:type="dxa"/>
            <w:vMerge/>
            <w:tcBorders>
              <w:top w:val="nil"/>
              <w:left w:val="single" w:sz="8" w:space="0" w:color="auto"/>
              <w:bottom w:val="single" w:sz="8" w:space="0" w:color="000000"/>
              <w:right w:val="single" w:sz="8" w:space="0" w:color="auto"/>
            </w:tcBorders>
            <w:vAlign w:val="center"/>
            <w:hideMark/>
          </w:tcPr>
          <w:p w:rsidR="005D0B92" w:rsidRPr="00965E2C" w:rsidRDefault="005D0B92" w:rsidP="00135E30">
            <w:pPr>
              <w:rPr>
                <w:rFonts w:ascii="Arial" w:hAnsi="Arial" w:cs="Arial"/>
                <w:b/>
                <w:bCs/>
                <w:sz w:val="20"/>
                <w:szCs w:val="20"/>
                <w:lang w:val="es-CR" w:eastAsia="es-CR"/>
              </w:rPr>
            </w:pPr>
          </w:p>
        </w:tc>
      </w:tr>
      <w:tr w:rsidR="008E265E" w:rsidRPr="00965E2C" w:rsidTr="00C26505">
        <w:trPr>
          <w:trHeight w:val="238"/>
        </w:trPr>
        <w:tc>
          <w:tcPr>
            <w:tcW w:w="2992" w:type="dxa"/>
            <w:tcBorders>
              <w:top w:val="nil"/>
              <w:left w:val="single" w:sz="8" w:space="0" w:color="auto"/>
              <w:bottom w:val="single" w:sz="4" w:space="0" w:color="auto"/>
              <w:right w:val="single" w:sz="8" w:space="0" w:color="auto"/>
            </w:tcBorders>
            <w:shd w:val="clear" w:color="FFFFFF" w:fill="FFFFFF"/>
            <w:hideMark/>
          </w:tcPr>
          <w:p w:rsidR="005D0B92" w:rsidRPr="00965E2C" w:rsidRDefault="005D0B92" w:rsidP="00135E30">
            <w:pPr>
              <w:rPr>
                <w:rFonts w:ascii="Arial" w:hAnsi="Arial" w:cs="Arial"/>
                <w:bCs/>
                <w:sz w:val="20"/>
                <w:szCs w:val="20"/>
                <w:lang w:val="es-CR" w:eastAsia="es-CR"/>
              </w:rPr>
            </w:pPr>
            <w:r w:rsidRPr="00965E2C">
              <w:rPr>
                <w:rFonts w:ascii="Arial" w:hAnsi="Arial" w:cs="Arial"/>
                <w:bCs/>
                <w:sz w:val="20"/>
                <w:szCs w:val="20"/>
                <w:lang w:val="es-CR" w:eastAsia="es-CR"/>
              </w:rPr>
              <w:t>Billetes Emitidos</w:t>
            </w:r>
          </w:p>
        </w:tc>
        <w:tc>
          <w:tcPr>
            <w:tcW w:w="2268" w:type="dxa"/>
            <w:tcBorders>
              <w:top w:val="nil"/>
              <w:left w:val="single" w:sz="8" w:space="0" w:color="auto"/>
              <w:bottom w:val="single" w:sz="4" w:space="0" w:color="auto"/>
              <w:right w:val="single" w:sz="4" w:space="0" w:color="auto"/>
            </w:tcBorders>
            <w:shd w:val="clear" w:color="FFFFFF" w:fill="FFFFFF"/>
            <w:hideMark/>
          </w:tcPr>
          <w:p w:rsidR="005D0B92" w:rsidRPr="00965E2C" w:rsidRDefault="005D0B92" w:rsidP="00135E30">
            <w:pPr>
              <w:jc w:val="right"/>
              <w:rPr>
                <w:rFonts w:ascii="Arial" w:hAnsi="Arial" w:cs="Arial"/>
                <w:sz w:val="20"/>
                <w:szCs w:val="20"/>
                <w:lang w:val="es-CR" w:eastAsia="es-CR"/>
              </w:rPr>
            </w:pPr>
            <w:r w:rsidRPr="00965E2C">
              <w:rPr>
                <w:rFonts w:ascii="Arial" w:hAnsi="Arial" w:cs="Arial"/>
                <w:sz w:val="20"/>
                <w:szCs w:val="20"/>
                <w:lang w:val="es-CR" w:eastAsia="es-CR"/>
              </w:rPr>
              <w:t>195,175,200,000</w:t>
            </w:r>
          </w:p>
        </w:tc>
        <w:tc>
          <w:tcPr>
            <w:tcW w:w="2268" w:type="dxa"/>
            <w:tcBorders>
              <w:top w:val="nil"/>
              <w:left w:val="single" w:sz="8" w:space="0" w:color="auto"/>
              <w:bottom w:val="single" w:sz="4" w:space="0" w:color="auto"/>
              <w:right w:val="single" w:sz="8" w:space="0" w:color="auto"/>
            </w:tcBorders>
            <w:shd w:val="clear" w:color="FFFFFF" w:fill="FFFFFF"/>
            <w:hideMark/>
          </w:tcPr>
          <w:p w:rsidR="005D0B92" w:rsidRPr="00965E2C" w:rsidRDefault="005D0B92" w:rsidP="00135E30">
            <w:pPr>
              <w:jc w:val="right"/>
              <w:rPr>
                <w:rFonts w:ascii="Arial" w:hAnsi="Arial" w:cs="Arial"/>
                <w:sz w:val="20"/>
                <w:szCs w:val="20"/>
                <w:lang w:val="es-CR" w:eastAsia="es-CR"/>
              </w:rPr>
            </w:pPr>
            <w:r w:rsidRPr="00965E2C">
              <w:rPr>
                <w:rFonts w:ascii="Arial" w:hAnsi="Arial" w:cs="Arial"/>
                <w:sz w:val="20"/>
                <w:szCs w:val="20"/>
                <w:lang w:val="es-CR" w:eastAsia="es-CR"/>
              </w:rPr>
              <w:t>213,550,400,000</w:t>
            </w:r>
          </w:p>
        </w:tc>
        <w:tc>
          <w:tcPr>
            <w:tcW w:w="1134" w:type="dxa"/>
            <w:tcBorders>
              <w:top w:val="nil"/>
              <w:left w:val="nil"/>
              <w:bottom w:val="single" w:sz="4" w:space="0" w:color="auto"/>
              <w:right w:val="single" w:sz="8" w:space="0" w:color="auto"/>
            </w:tcBorders>
            <w:shd w:val="clear" w:color="FFFFFF" w:fill="FFFFFF"/>
            <w:vAlign w:val="center"/>
            <w:hideMark/>
          </w:tcPr>
          <w:p w:rsidR="005D0B92" w:rsidRPr="00965E2C" w:rsidRDefault="005D0B92" w:rsidP="00135E30">
            <w:pPr>
              <w:jc w:val="right"/>
              <w:rPr>
                <w:rFonts w:ascii="Arial" w:hAnsi="Arial" w:cs="Arial"/>
                <w:sz w:val="20"/>
                <w:szCs w:val="20"/>
                <w:lang w:val="es-CR" w:eastAsia="es-CR"/>
              </w:rPr>
            </w:pPr>
            <w:r w:rsidRPr="00965E2C">
              <w:rPr>
                <w:rFonts w:ascii="Arial" w:hAnsi="Arial" w:cs="Arial"/>
                <w:sz w:val="20"/>
                <w:szCs w:val="20"/>
                <w:lang w:val="es-CR" w:eastAsia="es-CR"/>
              </w:rPr>
              <w:t>9.41%</w:t>
            </w:r>
          </w:p>
        </w:tc>
      </w:tr>
      <w:tr w:rsidR="008E265E" w:rsidRPr="00965E2C" w:rsidTr="00C26505">
        <w:trPr>
          <w:trHeight w:val="238"/>
        </w:trPr>
        <w:tc>
          <w:tcPr>
            <w:tcW w:w="2992" w:type="dxa"/>
            <w:tcBorders>
              <w:top w:val="nil"/>
              <w:left w:val="single" w:sz="8" w:space="0" w:color="auto"/>
              <w:bottom w:val="single" w:sz="4" w:space="0" w:color="auto"/>
              <w:right w:val="single" w:sz="8" w:space="0" w:color="auto"/>
            </w:tcBorders>
            <w:shd w:val="clear" w:color="FFFFFF" w:fill="FFFFFF"/>
            <w:hideMark/>
          </w:tcPr>
          <w:p w:rsidR="005D0B92" w:rsidRPr="00965E2C" w:rsidRDefault="005D0B92" w:rsidP="00135E30">
            <w:pPr>
              <w:rPr>
                <w:rFonts w:ascii="Arial" w:hAnsi="Arial" w:cs="Arial"/>
                <w:bCs/>
                <w:sz w:val="20"/>
                <w:szCs w:val="20"/>
                <w:lang w:val="es-CR" w:eastAsia="es-CR"/>
              </w:rPr>
            </w:pPr>
            <w:r w:rsidRPr="00965E2C">
              <w:rPr>
                <w:rFonts w:ascii="Arial" w:hAnsi="Arial" w:cs="Arial"/>
                <w:bCs/>
                <w:sz w:val="20"/>
                <w:szCs w:val="20"/>
                <w:lang w:val="es-CR" w:eastAsia="es-CR"/>
              </w:rPr>
              <w:t>No distribuidos</w:t>
            </w:r>
          </w:p>
        </w:tc>
        <w:tc>
          <w:tcPr>
            <w:tcW w:w="2268" w:type="dxa"/>
            <w:tcBorders>
              <w:top w:val="nil"/>
              <w:left w:val="single" w:sz="8" w:space="0" w:color="auto"/>
              <w:bottom w:val="single" w:sz="4" w:space="0" w:color="auto"/>
              <w:right w:val="single" w:sz="4" w:space="0" w:color="auto"/>
            </w:tcBorders>
            <w:shd w:val="clear" w:color="FFFFFF" w:fill="FFFFFF"/>
            <w:hideMark/>
          </w:tcPr>
          <w:p w:rsidR="005D0B92" w:rsidRPr="00965E2C" w:rsidRDefault="005D0B92" w:rsidP="00135E30">
            <w:pPr>
              <w:jc w:val="right"/>
              <w:rPr>
                <w:rFonts w:ascii="Arial" w:hAnsi="Arial" w:cs="Arial"/>
                <w:sz w:val="20"/>
                <w:szCs w:val="20"/>
                <w:lang w:val="es-CR" w:eastAsia="es-CR"/>
              </w:rPr>
            </w:pPr>
            <w:r w:rsidRPr="00965E2C">
              <w:rPr>
                <w:rFonts w:ascii="Arial" w:hAnsi="Arial" w:cs="Arial"/>
                <w:sz w:val="20"/>
                <w:szCs w:val="20"/>
                <w:lang w:val="es-CR" w:eastAsia="es-CR"/>
              </w:rPr>
              <w:t>12,802,808,500</w:t>
            </w:r>
          </w:p>
        </w:tc>
        <w:tc>
          <w:tcPr>
            <w:tcW w:w="2268" w:type="dxa"/>
            <w:tcBorders>
              <w:top w:val="nil"/>
              <w:left w:val="single" w:sz="8" w:space="0" w:color="auto"/>
              <w:bottom w:val="single" w:sz="4" w:space="0" w:color="auto"/>
              <w:right w:val="single" w:sz="8" w:space="0" w:color="auto"/>
            </w:tcBorders>
            <w:shd w:val="clear" w:color="FFFFFF" w:fill="FFFFFF"/>
            <w:hideMark/>
          </w:tcPr>
          <w:p w:rsidR="005D0B92" w:rsidRPr="00965E2C" w:rsidRDefault="005D0B92" w:rsidP="00135E30">
            <w:pPr>
              <w:jc w:val="right"/>
              <w:rPr>
                <w:rFonts w:ascii="Arial" w:hAnsi="Arial" w:cs="Arial"/>
                <w:sz w:val="20"/>
                <w:szCs w:val="20"/>
                <w:lang w:val="es-CR" w:eastAsia="es-CR"/>
              </w:rPr>
            </w:pPr>
            <w:r w:rsidRPr="00965E2C">
              <w:rPr>
                <w:rFonts w:ascii="Arial" w:hAnsi="Arial" w:cs="Arial"/>
                <w:sz w:val="20"/>
                <w:szCs w:val="20"/>
                <w:lang w:val="es-CR" w:eastAsia="es-CR"/>
              </w:rPr>
              <w:t>18,898,120,500</w:t>
            </w:r>
          </w:p>
        </w:tc>
        <w:tc>
          <w:tcPr>
            <w:tcW w:w="1134" w:type="dxa"/>
            <w:tcBorders>
              <w:top w:val="nil"/>
              <w:left w:val="nil"/>
              <w:bottom w:val="single" w:sz="4" w:space="0" w:color="auto"/>
              <w:right w:val="single" w:sz="8" w:space="0" w:color="auto"/>
            </w:tcBorders>
            <w:shd w:val="clear" w:color="FFFFFF" w:fill="FFFFFF"/>
            <w:vAlign w:val="center"/>
            <w:hideMark/>
          </w:tcPr>
          <w:p w:rsidR="005D0B92" w:rsidRPr="00965E2C" w:rsidRDefault="005D0B92" w:rsidP="00135E30">
            <w:pPr>
              <w:jc w:val="right"/>
              <w:rPr>
                <w:rFonts w:ascii="Arial" w:hAnsi="Arial" w:cs="Arial"/>
                <w:sz w:val="20"/>
                <w:szCs w:val="20"/>
                <w:lang w:val="es-CR" w:eastAsia="es-CR"/>
              </w:rPr>
            </w:pPr>
            <w:r w:rsidRPr="00965E2C">
              <w:rPr>
                <w:rFonts w:ascii="Arial" w:hAnsi="Arial" w:cs="Arial"/>
                <w:sz w:val="20"/>
                <w:szCs w:val="20"/>
                <w:lang w:val="es-CR" w:eastAsia="es-CR"/>
              </w:rPr>
              <w:t>47.61%</w:t>
            </w:r>
          </w:p>
        </w:tc>
      </w:tr>
      <w:tr w:rsidR="008E265E" w:rsidRPr="00965E2C" w:rsidTr="00C26505">
        <w:trPr>
          <w:trHeight w:val="238"/>
        </w:trPr>
        <w:tc>
          <w:tcPr>
            <w:tcW w:w="2992" w:type="dxa"/>
            <w:tcBorders>
              <w:top w:val="nil"/>
              <w:left w:val="single" w:sz="8" w:space="0" w:color="auto"/>
              <w:bottom w:val="single" w:sz="4" w:space="0" w:color="auto"/>
              <w:right w:val="single" w:sz="8" w:space="0" w:color="auto"/>
            </w:tcBorders>
            <w:shd w:val="clear" w:color="FFFFFF" w:fill="FFFFFF"/>
            <w:hideMark/>
          </w:tcPr>
          <w:p w:rsidR="005D0B92" w:rsidRPr="00965E2C" w:rsidRDefault="005D0B92" w:rsidP="00135E30">
            <w:pPr>
              <w:rPr>
                <w:rFonts w:ascii="Arial" w:hAnsi="Arial" w:cs="Arial"/>
                <w:bCs/>
                <w:sz w:val="20"/>
                <w:szCs w:val="20"/>
                <w:lang w:val="es-CR" w:eastAsia="es-CR"/>
              </w:rPr>
            </w:pPr>
            <w:r w:rsidRPr="00965E2C">
              <w:rPr>
                <w:rFonts w:ascii="Arial" w:hAnsi="Arial" w:cs="Arial"/>
                <w:bCs/>
                <w:sz w:val="20"/>
                <w:szCs w:val="20"/>
                <w:lang w:val="es-CR" w:eastAsia="es-CR"/>
              </w:rPr>
              <w:t>Ventas Digitales</w:t>
            </w:r>
          </w:p>
        </w:tc>
        <w:tc>
          <w:tcPr>
            <w:tcW w:w="2268" w:type="dxa"/>
            <w:tcBorders>
              <w:top w:val="nil"/>
              <w:left w:val="single" w:sz="8" w:space="0" w:color="auto"/>
              <w:bottom w:val="single" w:sz="4" w:space="0" w:color="auto"/>
              <w:right w:val="single" w:sz="4" w:space="0" w:color="auto"/>
            </w:tcBorders>
            <w:shd w:val="clear" w:color="FFFFFF" w:fill="FFFFFF"/>
            <w:hideMark/>
          </w:tcPr>
          <w:p w:rsidR="005D0B92" w:rsidRPr="00965E2C" w:rsidRDefault="005D0B92" w:rsidP="00135E30">
            <w:pPr>
              <w:jc w:val="right"/>
              <w:rPr>
                <w:rFonts w:ascii="Arial" w:hAnsi="Arial" w:cs="Arial"/>
                <w:sz w:val="20"/>
                <w:szCs w:val="20"/>
                <w:lang w:val="es-CR" w:eastAsia="es-CR"/>
              </w:rPr>
            </w:pPr>
            <w:r w:rsidRPr="00965E2C">
              <w:rPr>
                <w:rFonts w:ascii="Arial" w:hAnsi="Arial" w:cs="Arial"/>
                <w:sz w:val="20"/>
                <w:szCs w:val="20"/>
                <w:lang w:val="es-CR" w:eastAsia="es-CR"/>
              </w:rPr>
              <w:t>12,905,588,975</w:t>
            </w:r>
          </w:p>
        </w:tc>
        <w:tc>
          <w:tcPr>
            <w:tcW w:w="2268" w:type="dxa"/>
            <w:tcBorders>
              <w:top w:val="nil"/>
              <w:left w:val="single" w:sz="8" w:space="0" w:color="auto"/>
              <w:bottom w:val="single" w:sz="4" w:space="0" w:color="auto"/>
              <w:right w:val="single" w:sz="8" w:space="0" w:color="auto"/>
            </w:tcBorders>
            <w:shd w:val="clear" w:color="FFFFFF" w:fill="FFFFFF"/>
            <w:hideMark/>
          </w:tcPr>
          <w:p w:rsidR="005D0B92" w:rsidRPr="00965E2C" w:rsidRDefault="005D0B92" w:rsidP="00135E30">
            <w:pPr>
              <w:jc w:val="right"/>
              <w:rPr>
                <w:rFonts w:ascii="Arial" w:hAnsi="Arial" w:cs="Arial"/>
                <w:sz w:val="20"/>
                <w:szCs w:val="20"/>
                <w:lang w:val="es-CR" w:eastAsia="es-CR"/>
              </w:rPr>
            </w:pPr>
            <w:r w:rsidRPr="00965E2C">
              <w:rPr>
                <w:rFonts w:ascii="Arial" w:hAnsi="Arial" w:cs="Arial"/>
                <w:sz w:val="20"/>
                <w:szCs w:val="20"/>
                <w:lang w:val="es-CR" w:eastAsia="es-CR"/>
              </w:rPr>
              <w:t>21,456,648,750</w:t>
            </w:r>
          </w:p>
        </w:tc>
        <w:tc>
          <w:tcPr>
            <w:tcW w:w="1134" w:type="dxa"/>
            <w:tcBorders>
              <w:top w:val="nil"/>
              <w:left w:val="nil"/>
              <w:bottom w:val="single" w:sz="4" w:space="0" w:color="auto"/>
              <w:right w:val="single" w:sz="8" w:space="0" w:color="auto"/>
            </w:tcBorders>
            <w:shd w:val="clear" w:color="FFFFFF" w:fill="FFFFFF"/>
            <w:vAlign w:val="center"/>
            <w:hideMark/>
          </w:tcPr>
          <w:p w:rsidR="005D0B92" w:rsidRPr="00965E2C" w:rsidRDefault="005D0B92" w:rsidP="00135E30">
            <w:pPr>
              <w:jc w:val="right"/>
              <w:rPr>
                <w:rFonts w:ascii="Arial" w:hAnsi="Arial" w:cs="Arial"/>
                <w:sz w:val="20"/>
                <w:szCs w:val="20"/>
                <w:lang w:val="es-CR" w:eastAsia="es-CR"/>
              </w:rPr>
            </w:pPr>
            <w:r w:rsidRPr="00965E2C">
              <w:rPr>
                <w:rFonts w:ascii="Arial" w:hAnsi="Arial" w:cs="Arial"/>
                <w:sz w:val="20"/>
                <w:szCs w:val="20"/>
                <w:lang w:val="es-CR" w:eastAsia="es-CR"/>
              </w:rPr>
              <w:t>66.26%</w:t>
            </w:r>
          </w:p>
        </w:tc>
      </w:tr>
      <w:tr w:rsidR="008E265E" w:rsidRPr="00965E2C" w:rsidTr="00C26505">
        <w:trPr>
          <w:trHeight w:val="238"/>
        </w:trPr>
        <w:tc>
          <w:tcPr>
            <w:tcW w:w="2992" w:type="dxa"/>
            <w:tcBorders>
              <w:top w:val="nil"/>
              <w:left w:val="single" w:sz="8" w:space="0" w:color="auto"/>
              <w:bottom w:val="single" w:sz="4" w:space="0" w:color="auto"/>
              <w:right w:val="single" w:sz="8" w:space="0" w:color="auto"/>
            </w:tcBorders>
            <w:shd w:val="clear" w:color="FFFFFF" w:fill="FFFFFF"/>
            <w:hideMark/>
          </w:tcPr>
          <w:p w:rsidR="005D0B92" w:rsidRPr="00965E2C" w:rsidRDefault="005D0B92" w:rsidP="00135E30">
            <w:pPr>
              <w:rPr>
                <w:rFonts w:ascii="Arial" w:hAnsi="Arial" w:cs="Arial"/>
                <w:bCs/>
                <w:sz w:val="20"/>
                <w:szCs w:val="20"/>
                <w:lang w:val="es-CR" w:eastAsia="es-CR"/>
              </w:rPr>
            </w:pPr>
            <w:r w:rsidRPr="00965E2C">
              <w:rPr>
                <w:rFonts w:ascii="Arial" w:hAnsi="Arial" w:cs="Arial"/>
                <w:bCs/>
                <w:sz w:val="20"/>
                <w:szCs w:val="20"/>
                <w:lang w:val="es-CR" w:eastAsia="es-CR"/>
              </w:rPr>
              <w:t>Ventas Brutas</w:t>
            </w:r>
          </w:p>
        </w:tc>
        <w:tc>
          <w:tcPr>
            <w:tcW w:w="2268" w:type="dxa"/>
            <w:tcBorders>
              <w:top w:val="nil"/>
              <w:left w:val="single" w:sz="8" w:space="0" w:color="auto"/>
              <w:bottom w:val="single" w:sz="4" w:space="0" w:color="auto"/>
              <w:right w:val="single" w:sz="4" w:space="0" w:color="auto"/>
            </w:tcBorders>
            <w:shd w:val="clear" w:color="FFFFFF" w:fill="FFFFFF"/>
            <w:hideMark/>
          </w:tcPr>
          <w:p w:rsidR="005D0B92" w:rsidRPr="00965E2C" w:rsidRDefault="005D0B92" w:rsidP="00135E30">
            <w:pPr>
              <w:jc w:val="right"/>
              <w:rPr>
                <w:rFonts w:ascii="Arial" w:hAnsi="Arial" w:cs="Arial"/>
                <w:sz w:val="20"/>
                <w:szCs w:val="20"/>
                <w:lang w:val="es-CR" w:eastAsia="es-CR"/>
              </w:rPr>
            </w:pPr>
            <w:r w:rsidRPr="00965E2C">
              <w:rPr>
                <w:rFonts w:ascii="Arial" w:hAnsi="Arial" w:cs="Arial"/>
                <w:sz w:val="20"/>
                <w:szCs w:val="20"/>
                <w:lang w:val="es-CR" w:eastAsia="es-CR"/>
              </w:rPr>
              <w:t>195,277,980,475</w:t>
            </w:r>
          </w:p>
        </w:tc>
        <w:tc>
          <w:tcPr>
            <w:tcW w:w="2268" w:type="dxa"/>
            <w:tcBorders>
              <w:top w:val="nil"/>
              <w:left w:val="single" w:sz="8" w:space="0" w:color="auto"/>
              <w:bottom w:val="single" w:sz="4" w:space="0" w:color="auto"/>
              <w:right w:val="single" w:sz="8" w:space="0" w:color="auto"/>
            </w:tcBorders>
            <w:shd w:val="clear" w:color="FFFFFF" w:fill="FFFFFF"/>
            <w:hideMark/>
          </w:tcPr>
          <w:p w:rsidR="005D0B92" w:rsidRPr="00965E2C" w:rsidRDefault="005D0B92" w:rsidP="00135E30">
            <w:pPr>
              <w:jc w:val="right"/>
              <w:rPr>
                <w:rFonts w:ascii="Arial" w:hAnsi="Arial" w:cs="Arial"/>
                <w:sz w:val="20"/>
                <w:szCs w:val="20"/>
                <w:lang w:val="es-CR" w:eastAsia="es-CR"/>
              </w:rPr>
            </w:pPr>
            <w:r w:rsidRPr="00965E2C">
              <w:rPr>
                <w:rFonts w:ascii="Arial" w:hAnsi="Arial" w:cs="Arial"/>
                <w:sz w:val="20"/>
                <w:szCs w:val="20"/>
                <w:lang w:val="es-CR" w:eastAsia="es-CR"/>
              </w:rPr>
              <w:t>216,108,928,250</w:t>
            </w:r>
          </w:p>
        </w:tc>
        <w:tc>
          <w:tcPr>
            <w:tcW w:w="1134" w:type="dxa"/>
            <w:tcBorders>
              <w:top w:val="nil"/>
              <w:left w:val="nil"/>
              <w:bottom w:val="single" w:sz="4" w:space="0" w:color="auto"/>
              <w:right w:val="single" w:sz="8" w:space="0" w:color="auto"/>
            </w:tcBorders>
            <w:shd w:val="clear" w:color="FFFFFF" w:fill="FFFFFF"/>
            <w:vAlign w:val="center"/>
            <w:hideMark/>
          </w:tcPr>
          <w:p w:rsidR="005D0B92" w:rsidRPr="00965E2C" w:rsidRDefault="005D0B92" w:rsidP="00135E30">
            <w:pPr>
              <w:jc w:val="right"/>
              <w:rPr>
                <w:rFonts w:ascii="Arial" w:hAnsi="Arial" w:cs="Arial"/>
                <w:sz w:val="20"/>
                <w:szCs w:val="20"/>
                <w:lang w:val="es-CR" w:eastAsia="es-CR"/>
              </w:rPr>
            </w:pPr>
            <w:r w:rsidRPr="00965E2C">
              <w:rPr>
                <w:rFonts w:ascii="Arial" w:hAnsi="Arial" w:cs="Arial"/>
                <w:sz w:val="20"/>
                <w:szCs w:val="20"/>
                <w:lang w:val="es-CR" w:eastAsia="es-CR"/>
              </w:rPr>
              <w:t>10.67%</w:t>
            </w:r>
          </w:p>
        </w:tc>
      </w:tr>
      <w:tr w:rsidR="008E265E" w:rsidRPr="00965E2C" w:rsidTr="00C26505">
        <w:trPr>
          <w:trHeight w:val="238"/>
        </w:trPr>
        <w:tc>
          <w:tcPr>
            <w:tcW w:w="2992" w:type="dxa"/>
            <w:tcBorders>
              <w:top w:val="nil"/>
              <w:left w:val="single" w:sz="8" w:space="0" w:color="auto"/>
              <w:bottom w:val="single" w:sz="4" w:space="0" w:color="auto"/>
              <w:right w:val="single" w:sz="8" w:space="0" w:color="auto"/>
            </w:tcBorders>
            <w:shd w:val="clear" w:color="FFFFFF" w:fill="FFFFFF"/>
            <w:hideMark/>
          </w:tcPr>
          <w:p w:rsidR="005D0B92" w:rsidRPr="00965E2C" w:rsidRDefault="005D0B92" w:rsidP="00135E30">
            <w:pPr>
              <w:rPr>
                <w:rFonts w:ascii="Arial" w:hAnsi="Arial" w:cs="Arial"/>
                <w:bCs/>
                <w:sz w:val="20"/>
                <w:szCs w:val="20"/>
                <w:lang w:val="es-CR" w:eastAsia="es-CR"/>
              </w:rPr>
            </w:pPr>
            <w:r w:rsidRPr="00965E2C">
              <w:rPr>
                <w:rFonts w:ascii="Arial" w:hAnsi="Arial" w:cs="Arial"/>
                <w:bCs/>
                <w:sz w:val="20"/>
                <w:szCs w:val="20"/>
                <w:lang w:val="es-CR" w:eastAsia="es-CR"/>
              </w:rPr>
              <w:t>Devolución</w:t>
            </w:r>
          </w:p>
        </w:tc>
        <w:tc>
          <w:tcPr>
            <w:tcW w:w="2268" w:type="dxa"/>
            <w:tcBorders>
              <w:top w:val="nil"/>
              <w:left w:val="single" w:sz="8" w:space="0" w:color="auto"/>
              <w:bottom w:val="single" w:sz="4" w:space="0" w:color="auto"/>
              <w:right w:val="single" w:sz="4" w:space="0" w:color="auto"/>
            </w:tcBorders>
            <w:shd w:val="clear" w:color="FFFFFF" w:fill="FFFFFF"/>
            <w:hideMark/>
          </w:tcPr>
          <w:p w:rsidR="005D0B92" w:rsidRPr="00965E2C" w:rsidRDefault="005D0B92" w:rsidP="00135E30">
            <w:pPr>
              <w:jc w:val="right"/>
              <w:rPr>
                <w:rFonts w:ascii="Arial" w:hAnsi="Arial" w:cs="Arial"/>
                <w:sz w:val="20"/>
                <w:szCs w:val="20"/>
                <w:lang w:val="es-CR" w:eastAsia="es-CR"/>
              </w:rPr>
            </w:pPr>
            <w:r w:rsidRPr="00965E2C">
              <w:rPr>
                <w:rFonts w:ascii="Arial" w:hAnsi="Arial" w:cs="Arial"/>
                <w:sz w:val="20"/>
                <w:szCs w:val="20"/>
                <w:lang w:val="es-CR" w:eastAsia="es-CR"/>
              </w:rPr>
              <w:t>22,746,381,750</w:t>
            </w:r>
          </w:p>
        </w:tc>
        <w:tc>
          <w:tcPr>
            <w:tcW w:w="2268" w:type="dxa"/>
            <w:tcBorders>
              <w:top w:val="nil"/>
              <w:left w:val="single" w:sz="8" w:space="0" w:color="auto"/>
              <w:bottom w:val="single" w:sz="4" w:space="0" w:color="auto"/>
              <w:right w:val="single" w:sz="8" w:space="0" w:color="auto"/>
            </w:tcBorders>
            <w:shd w:val="clear" w:color="FFFFFF" w:fill="FFFFFF"/>
            <w:hideMark/>
          </w:tcPr>
          <w:p w:rsidR="005D0B92" w:rsidRPr="00965E2C" w:rsidRDefault="005D0B92" w:rsidP="00135E30">
            <w:pPr>
              <w:jc w:val="right"/>
              <w:rPr>
                <w:rFonts w:ascii="Arial" w:hAnsi="Arial" w:cs="Arial"/>
                <w:sz w:val="20"/>
                <w:szCs w:val="20"/>
                <w:lang w:val="es-CR" w:eastAsia="es-CR"/>
              </w:rPr>
            </w:pPr>
            <w:r w:rsidRPr="00965E2C">
              <w:rPr>
                <w:rFonts w:ascii="Arial" w:hAnsi="Arial" w:cs="Arial"/>
                <w:sz w:val="20"/>
                <w:szCs w:val="20"/>
                <w:lang w:val="es-CR" w:eastAsia="es-CR"/>
              </w:rPr>
              <w:t>35,076,877,900</w:t>
            </w:r>
          </w:p>
        </w:tc>
        <w:tc>
          <w:tcPr>
            <w:tcW w:w="1134" w:type="dxa"/>
            <w:tcBorders>
              <w:top w:val="nil"/>
              <w:left w:val="nil"/>
              <w:bottom w:val="single" w:sz="4" w:space="0" w:color="auto"/>
              <w:right w:val="single" w:sz="8" w:space="0" w:color="auto"/>
            </w:tcBorders>
            <w:shd w:val="clear" w:color="FFFFFF" w:fill="FFFFFF"/>
            <w:vAlign w:val="center"/>
            <w:hideMark/>
          </w:tcPr>
          <w:p w:rsidR="005D0B92" w:rsidRPr="00965E2C" w:rsidRDefault="005D0B92" w:rsidP="00135E30">
            <w:pPr>
              <w:jc w:val="right"/>
              <w:rPr>
                <w:rFonts w:ascii="Arial" w:hAnsi="Arial" w:cs="Arial"/>
                <w:sz w:val="20"/>
                <w:szCs w:val="20"/>
                <w:lang w:val="es-CR" w:eastAsia="es-CR"/>
              </w:rPr>
            </w:pPr>
            <w:r w:rsidRPr="00965E2C">
              <w:rPr>
                <w:rFonts w:ascii="Arial" w:hAnsi="Arial" w:cs="Arial"/>
                <w:sz w:val="20"/>
                <w:szCs w:val="20"/>
                <w:lang w:val="es-CR" w:eastAsia="es-CR"/>
              </w:rPr>
              <w:t>54.21%</w:t>
            </w:r>
          </w:p>
        </w:tc>
      </w:tr>
      <w:tr w:rsidR="008E265E" w:rsidRPr="00965E2C" w:rsidTr="00C26505">
        <w:trPr>
          <w:trHeight w:val="238"/>
        </w:trPr>
        <w:tc>
          <w:tcPr>
            <w:tcW w:w="2992" w:type="dxa"/>
            <w:tcBorders>
              <w:top w:val="nil"/>
              <w:left w:val="single" w:sz="8" w:space="0" w:color="auto"/>
              <w:bottom w:val="single" w:sz="4" w:space="0" w:color="auto"/>
              <w:right w:val="single" w:sz="8" w:space="0" w:color="auto"/>
            </w:tcBorders>
            <w:shd w:val="clear" w:color="FFFFFF" w:fill="FFFFFF"/>
            <w:hideMark/>
          </w:tcPr>
          <w:p w:rsidR="005D0B92" w:rsidRPr="00965E2C" w:rsidRDefault="005D0B92" w:rsidP="00135E30">
            <w:pPr>
              <w:rPr>
                <w:rFonts w:ascii="Arial" w:hAnsi="Arial" w:cs="Arial"/>
                <w:bCs/>
                <w:sz w:val="20"/>
                <w:szCs w:val="20"/>
                <w:lang w:val="es-CR" w:eastAsia="es-CR"/>
              </w:rPr>
            </w:pPr>
            <w:r w:rsidRPr="00965E2C">
              <w:rPr>
                <w:rFonts w:ascii="Arial" w:hAnsi="Arial" w:cs="Arial"/>
                <w:bCs/>
                <w:sz w:val="20"/>
                <w:szCs w:val="20"/>
                <w:lang w:val="es-CR" w:eastAsia="es-CR"/>
              </w:rPr>
              <w:t>Ventas Efectivas</w:t>
            </w:r>
          </w:p>
        </w:tc>
        <w:tc>
          <w:tcPr>
            <w:tcW w:w="2268" w:type="dxa"/>
            <w:tcBorders>
              <w:top w:val="nil"/>
              <w:left w:val="single" w:sz="8" w:space="0" w:color="auto"/>
              <w:bottom w:val="single" w:sz="4" w:space="0" w:color="auto"/>
              <w:right w:val="single" w:sz="4" w:space="0" w:color="auto"/>
            </w:tcBorders>
            <w:shd w:val="clear" w:color="FFFFFF" w:fill="FFFFFF"/>
            <w:hideMark/>
          </w:tcPr>
          <w:p w:rsidR="005D0B92" w:rsidRPr="00965E2C" w:rsidRDefault="005D0B92" w:rsidP="00135E30">
            <w:pPr>
              <w:jc w:val="right"/>
              <w:rPr>
                <w:rFonts w:ascii="Arial" w:hAnsi="Arial" w:cs="Arial"/>
                <w:bCs/>
                <w:sz w:val="20"/>
                <w:szCs w:val="20"/>
                <w:lang w:val="es-CR" w:eastAsia="es-CR"/>
              </w:rPr>
            </w:pPr>
            <w:r w:rsidRPr="00965E2C">
              <w:rPr>
                <w:rFonts w:ascii="Arial" w:hAnsi="Arial" w:cs="Arial"/>
                <w:bCs/>
                <w:sz w:val="20"/>
                <w:szCs w:val="20"/>
                <w:lang w:val="es-CR" w:eastAsia="es-CR"/>
              </w:rPr>
              <w:t>172,531,598,725</w:t>
            </w:r>
          </w:p>
        </w:tc>
        <w:tc>
          <w:tcPr>
            <w:tcW w:w="2268" w:type="dxa"/>
            <w:tcBorders>
              <w:top w:val="nil"/>
              <w:left w:val="single" w:sz="8" w:space="0" w:color="auto"/>
              <w:bottom w:val="single" w:sz="4" w:space="0" w:color="auto"/>
              <w:right w:val="single" w:sz="8" w:space="0" w:color="auto"/>
            </w:tcBorders>
            <w:shd w:val="clear" w:color="auto" w:fill="auto"/>
            <w:hideMark/>
          </w:tcPr>
          <w:p w:rsidR="005D0B92" w:rsidRPr="00965E2C" w:rsidRDefault="005D0B92" w:rsidP="00135E30">
            <w:pPr>
              <w:jc w:val="right"/>
              <w:rPr>
                <w:rFonts w:ascii="Arial" w:hAnsi="Arial" w:cs="Arial"/>
                <w:bCs/>
                <w:sz w:val="20"/>
                <w:szCs w:val="20"/>
                <w:lang w:val="es-CR" w:eastAsia="es-CR"/>
              </w:rPr>
            </w:pPr>
            <w:r w:rsidRPr="00965E2C">
              <w:rPr>
                <w:rFonts w:ascii="Arial" w:hAnsi="Arial" w:cs="Arial"/>
                <w:bCs/>
                <w:sz w:val="20"/>
                <w:szCs w:val="20"/>
                <w:lang w:val="es-CR" w:eastAsia="es-CR"/>
              </w:rPr>
              <w:t>181,032,050,350</w:t>
            </w:r>
          </w:p>
        </w:tc>
        <w:tc>
          <w:tcPr>
            <w:tcW w:w="1134" w:type="dxa"/>
            <w:tcBorders>
              <w:top w:val="nil"/>
              <w:left w:val="nil"/>
              <w:bottom w:val="single" w:sz="4" w:space="0" w:color="auto"/>
              <w:right w:val="single" w:sz="8" w:space="0" w:color="auto"/>
            </w:tcBorders>
            <w:shd w:val="clear" w:color="FFFFFF" w:fill="FFFFFF"/>
            <w:vAlign w:val="center"/>
            <w:hideMark/>
          </w:tcPr>
          <w:p w:rsidR="005D0B92" w:rsidRPr="00965E2C" w:rsidRDefault="005D0B92" w:rsidP="00135E30">
            <w:pPr>
              <w:jc w:val="right"/>
              <w:rPr>
                <w:rFonts w:ascii="Arial" w:hAnsi="Arial" w:cs="Arial"/>
                <w:bCs/>
                <w:sz w:val="20"/>
                <w:szCs w:val="20"/>
                <w:lang w:val="es-CR" w:eastAsia="es-CR"/>
              </w:rPr>
            </w:pPr>
            <w:r w:rsidRPr="00965E2C">
              <w:rPr>
                <w:rFonts w:ascii="Arial" w:hAnsi="Arial" w:cs="Arial"/>
                <w:bCs/>
                <w:sz w:val="20"/>
                <w:szCs w:val="20"/>
                <w:lang w:val="es-CR" w:eastAsia="es-CR"/>
              </w:rPr>
              <w:t>4.93%</w:t>
            </w:r>
          </w:p>
        </w:tc>
      </w:tr>
      <w:tr w:rsidR="008E265E" w:rsidRPr="00965E2C" w:rsidTr="00C26505">
        <w:trPr>
          <w:trHeight w:val="238"/>
        </w:trPr>
        <w:tc>
          <w:tcPr>
            <w:tcW w:w="2992" w:type="dxa"/>
            <w:tcBorders>
              <w:top w:val="nil"/>
              <w:left w:val="single" w:sz="8" w:space="0" w:color="auto"/>
              <w:bottom w:val="single" w:sz="4" w:space="0" w:color="auto"/>
              <w:right w:val="single" w:sz="8" w:space="0" w:color="auto"/>
            </w:tcBorders>
            <w:shd w:val="clear" w:color="FFFFFF" w:fill="FFFFFF"/>
            <w:hideMark/>
          </w:tcPr>
          <w:p w:rsidR="005D0B92" w:rsidRPr="00965E2C" w:rsidRDefault="005D0B92" w:rsidP="00135E30">
            <w:pPr>
              <w:rPr>
                <w:rFonts w:ascii="Arial" w:hAnsi="Arial" w:cs="Arial"/>
                <w:bCs/>
                <w:sz w:val="20"/>
                <w:szCs w:val="20"/>
                <w:lang w:val="es-CR" w:eastAsia="es-CR"/>
              </w:rPr>
            </w:pPr>
            <w:r w:rsidRPr="00965E2C">
              <w:rPr>
                <w:rFonts w:ascii="Arial" w:hAnsi="Arial" w:cs="Arial"/>
                <w:bCs/>
                <w:sz w:val="20"/>
                <w:szCs w:val="20"/>
                <w:lang w:val="es-CR" w:eastAsia="es-CR"/>
              </w:rPr>
              <w:t>Descuento sobre Ventas</w:t>
            </w:r>
          </w:p>
        </w:tc>
        <w:tc>
          <w:tcPr>
            <w:tcW w:w="2268" w:type="dxa"/>
            <w:tcBorders>
              <w:top w:val="nil"/>
              <w:left w:val="single" w:sz="8" w:space="0" w:color="auto"/>
              <w:bottom w:val="single" w:sz="4" w:space="0" w:color="auto"/>
              <w:right w:val="single" w:sz="4" w:space="0" w:color="auto"/>
            </w:tcBorders>
            <w:shd w:val="clear" w:color="FFFFFF" w:fill="FFFFFF"/>
            <w:hideMark/>
          </w:tcPr>
          <w:p w:rsidR="005D0B92" w:rsidRPr="00965E2C" w:rsidRDefault="005D0B92" w:rsidP="00135E30">
            <w:pPr>
              <w:jc w:val="right"/>
              <w:rPr>
                <w:rFonts w:ascii="Arial" w:hAnsi="Arial" w:cs="Arial"/>
                <w:sz w:val="20"/>
                <w:szCs w:val="20"/>
                <w:lang w:val="es-CR" w:eastAsia="es-CR"/>
              </w:rPr>
            </w:pPr>
            <w:r w:rsidRPr="00965E2C">
              <w:rPr>
                <w:rFonts w:ascii="Arial" w:hAnsi="Arial" w:cs="Arial"/>
                <w:sz w:val="20"/>
                <w:szCs w:val="20"/>
                <w:lang w:val="es-CR" w:eastAsia="es-CR"/>
              </w:rPr>
              <w:t>20,579,500,597</w:t>
            </w:r>
          </w:p>
        </w:tc>
        <w:tc>
          <w:tcPr>
            <w:tcW w:w="2268" w:type="dxa"/>
            <w:tcBorders>
              <w:top w:val="nil"/>
              <w:left w:val="single" w:sz="8" w:space="0" w:color="auto"/>
              <w:bottom w:val="single" w:sz="4" w:space="0" w:color="auto"/>
              <w:right w:val="single" w:sz="8" w:space="0" w:color="auto"/>
            </w:tcBorders>
            <w:shd w:val="clear" w:color="FFFFFF" w:fill="FFFFFF"/>
            <w:hideMark/>
          </w:tcPr>
          <w:p w:rsidR="005D0B92" w:rsidRPr="00965E2C" w:rsidRDefault="005D0B92" w:rsidP="00135E30">
            <w:pPr>
              <w:jc w:val="right"/>
              <w:rPr>
                <w:rFonts w:ascii="Arial" w:hAnsi="Arial" w:cs="Arial"/>
                <w:sz w:val="20"/>
                <w:szCs w:val="20"/>
                <w:lang w:val="es-CR" w:eastAsia="es-CR"/>
              </w:rPr>
            </w:pPr>
            <w:r w:rsidRPr="00965E2C">
              <w:rPr>
                <w:rFonts w:ascii="Arial" w:hAnsi="Arial" w:cs="Arial"/>
                <w:sz w:val="20"/>
                <w:szCs w:val="20"/>
                <w:lang w:val="es-CR" w:eastAsia="es-CR"/>
              </w:rPr>
              <w:t>21,742,916,666</w:t>
            </w:r>
          </w:p>
        </w:tc>
        <w:tc>
          <w:tcPr>
            <w:tcW w:w="1134" w:type="dxa"/>
            <w:tcBorders>
              <w:top w:val="nil"/>
              <w:left w:val="nil"/>
              <w:bottom w:val="single" w:sz="4" w:space="0" w:color="auto"/>
              <w:right w:val="single" w:sz="8" w:space="0" w:color="auto"/>
            </w:tcBorders>
            <w:shd w:val="clear" w:color="FFFFFF" w:fill="FFFFFF"/>
            <w:vAlign w:val="center"/>
            <w:hideMark/>
          </w:tcPr>
          <w:p w:rsidR="005D0B92" w:rsidRPr="00965E2C" w:rsidRDefault="005D0B92" w:rsidP="00135E30">
            <w:pPr>
              <w:jc w:val="right"/>
              <w:rPr>
                <w:rFonts w:ascii="Arial" w:hAnsi="Arial" w:cs="Arial"/>
                <w:sz w:val="20"/>
                <w:szCs w:val="20"/>
                <w:lang w:val="es-CR" w:eastAsia="es-CR"/>
              </w:rPr>
            </w:pPr>
            <w:r w:rsidRPr="00965E2C">
              <w:rPr>
                <w:rFonts w:ascii="Arial" w:hAnsi="Arial" w:cs="Arial"/>
                <w:sz w:val="20"/>
                <w:szCs w:val="20"/>
                <w:lang w:val="es-CR" w:eastAsia="es-CR"/>
              </w:rPr>
              <w:t>5.65%</w:t>
            </w:r>
          </w:p>
        </w:tc>
      </w:tr>
      <w:tr w:rsidR="008E265E" w:rsidRPr="00965E2C" w:rsidTr="00C26505">
        <w:trPr>
          <w:trHeight w:val="238"/>
        </w:trPr>
        <w:tc>
          <w:tcPr>
            <w:tcW w:w="2992" w:type="dxa"/>
            <w:tcBorders>
              <w:top w:val="nil"/>
              <w:left w:val="single" w:sz="8" w:space="0" w:color="auto"/>
              <w:bottom w:val="single" w:sz="4" w:space="0" w:color="auto"/>
              <w:right w:val="single" w:sz="8" w:space="0" w:color="auto"/>
            </w:tcBorders>
            <w:shd w:val="clear" w:color="FFFFFF" w:fill="FFFFFF"/>
            <w:hideMark/>
          </w:tcPr>
          <w:p w:rsidR="005D0B92" w:rsidRPr="00965E2C" w:rsidRDefault="005D0B92" w:rsidP="00135E30">
            <w:pPr>
              <w:rPr>
                <w:rFonts w:ascii="Arial" w:hAnsi="Arial" w:cs="Arial"/>
                <w:bCs/>
                <w:sz w:val="20"/>
                <w:szCs w:val="20"/>
                <w:lang w:val="es-CR" w:eastAsia="es-CR"/>
              </w:rPr>
            </w:pPr>
            <w:r w:rsidRPr="00965E2C">
              <w:rPr>
                <w:rFonts w:ascii="Arial" w:hAnsi="Arial" w:cs="Arial"/>
                <w:bCs/>
                <w:sz w:val="20"/>
                <w:szCs w:val="20"/>
                <w:lang w:val="es-CR" w:eastAsia="es-CR"/>
              </w:rPr>
              <w:t>Pago de Premios real</w:t>
            </w:r>
          </w:p>
        </w:tc>
        <w:tc>
          <w:tcPr>
            <w:tcW w:w="2268" w:type="dxa"/>
            <w:tcBorders>
              <w:top w:val="nil"/>
              <w:left w:val="single" w:sz="8" w:space="0" w:color="auto"/>
              <w:bottom w:val="single" w:sz="4" w:space="0" w:color="auto"/>
              <w:right w:val="single" w:sz="4" w:space="0" w:color="auto"/>
            </w:tcBorders>
            <w:shd w:val="clear" w:color="FFFFFF" w:fill="FFFFFF"/>
            <w:hideMark/>
          </w:tcPr>
          <w:p w:rsidR="005D0B92" w:rsidRPr="00965E2C" w:rsidRDefault="005D0B92" w:rsidP="00135E30">
            <w:pPr>
              <w:jc w:val="right"/>
              <w:rPr>
                <w:rFonts w:ascii="Arial" w:hAnsi="Arial" w:cs="Arial"/>
                <w:sz w:val="20"/>
                <w:szCs w:val="20"/>
                <w:lang w:val="es-CR" w:eastAsia="es-CR"/>
              </w:rPr>
            </w:pPr>
            <w:r w:rsidRPr="00965E2C">
              <w:rPr>
                <w:rFonts w:ascii="Arial" w:hAnsi="Arial" w:cs="Arial"/>
                <w:sz w:val="20"/>
                <w:szCs w:val="20"/>
                <w:lang w:val="es-CR" w:eastAsia="es-CR"/>
              </w:rPr>
              <w:t>107,201,180,901</w:t>
            </w:r>
          </w:p>
        </w:tc>
        <w:tc>
          <w:tcPr>
            <w:tcW w:w="2268" w:type="dxa"/>
            <w:tcBorders>
              <w:top w:val="nil"/>
              <w:left w:val="single" w:sz="8" w:space="0" w:color="auto"/>
              <w:bottom w:val="single" w:sz="4" w:space="0" w:color="auto"/>
              <w:right w:val="single" w:sz="8" w:space="0" w:color="auto"/>
            </w:tcBorders>
            <w:shd w:val="clear" w:color="FFFFFF" w:fill="FFFFFF"/>
            <w:hideMark/>
          </w:tcPr>
          <w:p w:rsidR="005D0B92" w:rsidRPr="00965E2C" w:rsidRDefault="005D0B92" w:rsidP="00135E30">
            <w:pPr>
              <w:jc w:val="right"/>
              <w:rPr>
                <w:rFonts w:ascii="Arial" w:hAnsi="Arial" w:cs="Arial"/>
                <w:sz w:val="20"/>
                <w:szCs w:val="20"/>
                <w:lang w:val="es-CR" w:eastAsia="es-CR"/>
              </w:rPr>
            </w:pPr>
            <w:r w:rsidRPr="00965E2C">
              <w:rPr>
                <w:rFonts w:ascii="Arial" w:hAnsi="Arial" w:cs="Arial"/>
                <w:sz w:val="20"/>
                <w:szCs w:val="20"/>
                <w:lang w:val="es-CR" w:eastAsia="es-CR"/>
              </w:rPr>
              <w:t>108,533,288,671</w:t>
            </w:r>
          </w:p>
        </w:tc>
        <w:tc>
          <w:tcPr>
            <w:tcW w:w="1134" w:type="dxa"/>
            <w:tcBorders>
              <w:top w:val="nil"/>
              <w:left w:val="nil"/>
              <w:bottom w:val="single" w:sz="4" w:space="0" w:color="auto"/>
              <w:right w:val="single" w:sz="8" w:space="0" w:color="auto"/>
            </w:tcBorders>
            <w:shd w:val="clear" w:color="FFFFFF" w:fill="FFFFFF"/>
            <w:vAlign w:val="center"/>
            <w:hideMark/>
          </w:tcPr>
          <w:p w:rsidR="005D0B92" w:rsidRPr="00965E2C" w:rsidRDefault="005D0B92" w:rsidP="00135E30">
            <w:pPr>
              <w:jc w:val="right"/>
              <w:rPr>
                <w:rFonts w:ascii="Arial" w:hAnsi="Arial" w:cs="Arial"/>
                <w:bCs/>
                <w:sz w:val="20"/>
                <w:szCs w:val="20"/>
                <w:lang w:val="es-CR" w:eastAsia="es-CR"/>
              </w:rPr>
            </w:pPr>
            <w:r w:rsidRPr="00965E2C">
              <w:rPr>
                <w:rFonts w:ascii="Arial" w:hAnsi="Arial" w:cs="Arial"/>
                <w:bCs/>
                <w:sz w:val="20"/>
                <w:szCs w:val="20"/>
                <w:lang w:val="es-CR" w:eastAsia="es-CR"/>
              </w:rPr>
              <w:t>1.24%</w:t>
            </w:r>
          </w:p>
        </w:tc>
      </w:tr>
      <w:tr w:rsidR="008E265E" w:rsidRPr="00965E2C" w:rsidTr="00C26505">
        <w:trPr>
          <w:trHeight w:val="238"/>
        </w:trPr>
        <w:tc>
          <w:tcPr>
            <w:tcW w:w="2992" w:type="dxa"/>
            <w:tcBorders>
              <w:top w:val="nil"/>
              <w:left w:val="single" w:sz="8" w:space="0" w:color="auto"/>
              <w:bottom w:val="single" w:sz="4" w:space="0" w:color="auto"/>
              <w:right w:val="single" w:sz="8" w:space="0" w:color="auto"/>
            </w:tcBorders>
            <w:shd w:val="clear" w:color="FFFFFF" w:fill="FFFFFF"/>
            <w:hideMark/>
          </w:tcPr>
          <w:p w:rsidR="005D0B92" w:rsidRPr="00965E2C" w:rsidRDefault="005D0B92" w:rsidP="00135E30">
            <w:pPr>
              <w:rPr>
                <w:rFonts w:ascii="Arial" w:hAnsi="Arial" w:cs="Arial"/>
                <w:bCs/>
                <w:sz w:val="20"/>
                <w:szCs w:val="20"/>
                <w:lang w:val="es-CR" w:eastAsia="es-CR"/>
              </w:rPr>
            </w:pPr>
            <w:r w:rsidRPr="00965E2C">
              <w:rPr>
                <w:rFonts w:ascii="Arial" w:hAnsi="Arial" w:cs="Arial"/>
                <w:bCs/>
                <w:sz w:val="20"/>
                <w:szCs w:val="20"/>
                <w:lang w:val="es-CR" w:eastAsia="es-CR"/>
              </w:rPr>
              <w:t>Derechos de Uso</w:t>
            </w:r>
          </w:p>
        </w:tc>
        <w:tc>
          <w:tcPr>
            <w:tcW w:w="2268" w:type="dxa"/>
            <w:tcBorders>
              <w:top w:val="nil"/>
              <w:left w:val="single" w:sz="8" w:space="0" w:color="auto"/>
              <w:bottom w:val="single" w:sz="4" w:space="0" w:color="auto"/>
              <w:right w:val="single" w:sz="4" w:space="0" w:color="auto"/>
            </w:tcBorders>
            <w:shd w:val="clear" w:color="FFFFFF" w:fill="FFFFFF"/>
            <w:hideMark/>
          </w:tcPr>
          <w:p w:rsidR="005D0B92" w:rsidRPr="00965E2C" w:rsidRDefault="005D0B92" w:rsidP="00135E30">
            <w:pPr>
              <w:jc w:val="right"/>
              <w:rPr>
                <w:rFonts w:ascii="Arial" w:hAnsi="Arial" w:cs="Arial"/>
                <w:sz w:val="20"/>
                <w:szCs w:val="20"/>
                <w:lang w:val="es-CR" w:eastAsia="es-CR"/>
              </w:rPr>
            </w:pPr>
            <w:r w:rsidRPr="00965E2C">
              <w:rPr>
                <w:rFonts w:ascii="Arial" w:hAnsi="Arial" w:cs="Arial"/>
                <w:sz w:val="20"/>
                <w:szCs w:val="20"/>
                <w:lang w:val="es-CR" w:eastAsia="es-CR"/>
              </w:rPr>
              <w:t>6,094,399</w:t>
            </w:r>
          </w:p>
        </w:tc>
        <w:tc>
          <w:tcPr>
            <w:tcW w:w="2268" w:type="dxa"/>
            <w:tcBorders>
              <w:top w:val="nil"/>
              <w:left w:val="single" w:sz="8" w:space="0" w:color="auto"/>
              <w:bottom w:val="single" w:sz="4" w:space="0" w:color="auto"/>
              <w:right w:val="single" w:sz="8" w:space="0" w:color="auto"/>
            </w:tcBorders>
            <w:shd w:val="clear" w:color="FFFFFF" w:fill="FFFFFF"/>
            <w:hideMark/>
          </w:tcPr>
          <w:p w:rsidR="005D0B92" w:rsidRPr="00965E2C" w:rsidRDefault="005D0B92" w:rsidP="00135E30">
            <w:pPr>
              <w:jc w:val="right"/>
              <w:rPr>
                <w:rFonts w:ascii="Arial" w:hAnsi="Arial" w:cs="Arial"/>
                <w:sz w:val="20"/>
                <w:szCs w:val="20"/>
                <w:lang w:val="es-CR" w:eastAsia="es-CR"/>
              </w:rPr>
            </w:pPr>
            <w:r w:rsidRPr="00965E2C">
              <w:rPr>
                <w:rFonts w:ascii="Arial" w:hAnsi="Arial" w:cs="Arial"/>
                <w:sz w:val="20"/>
                <w:szCs w:val="20"/>
                <w:lang w:val="es-CR" w:eastAsia="es-CR"/>
              </w:rPr>
              <w:t>3,812,224</w:t>
            </w:r>
          </w:p>
        </w:tc>
        <w:tc>
          <w:tcPr>
            <w:tcW w:w="1134" w:type="dxa"/>
            <w:tcBorders>
              <w:top w:val="nil"/>
              <w:left w:val="nil"/>
              <w:bottom w:val="single" w:sz="4" w:space="0" w:color="auto"/>
              <w:right w:val="single" w:sz="8" w:space="0" w:color="auto"/>
            </w:tcBorders>
            <w:shd w:val="clear" w:color="FFFFFF" w:fill="FFFFFF"/>
            <w:vAlign w:val="center"/>
            <w:hideMark/>
          </w:tcPr>
          <w:p w:rsidR="005D0B92" w:rsidRPr="00965E2C" w:rsidRDefault="005D0B92" w:rsidP="00135E30">
            <w:pPr>
              <w:jc w:val="right"/>
              <w:rPr>
                <w:rFonts w:ascii="Arial" w:hAnsi="Arial" w:cs="Arial"/>
                <w:sz w:val="20"/>
                <w:szCs w:val="20"/>
                <w:lang w:val="es-CR" w:eastAsia="es-CR"/>
              </w:rPr>
            </w:pPr>
            <w:r w:rsidRPr="00965E2C">
              <w:rPr>
                <w:rFonts w:ascii="Arial" w:hAnsi="Arial" w:cs="Arial"/>
                <w:sz w:val="20"/>
                <w:szCs w:val="20"/>
                <w:lang w:val="es-CR" w:eastAsia="es-CR"/>
              </w:rPr>
              <w:t>-37.45%</w:t>
            </w:r>
          </w:p>
        </w:tc>
      </w:tr>
      <w:tr w:rsidR="008E265E" w:rsidRPr="00965E2C" w:rsidTr="00C26505">
        <w:trPr>
          <w:trHeight w:val="238"/>
        </w:trPr>
        <w:tc>
          <w:tcPr>
            <w:tcW w:w="2992" w:type="dxa"/>
            <w:tcBorders>
              <w:top w:val="nil"/>
              <w:left w:val="single" w:sz="8" w:space="0" w:color="auto"/>
              <w:bottom w:val="single" w:sz="4" w:space="0" w:color="auto"/>
              <w:right w:val="single" w:sz="8" w:space="0" w:color="auto"/>
            </w:tcBorders>
            <w:shd w:val="clear" w:color="FFFFFF" w:fill="FFFFFF"/>
            <w:hideMark/>
          </w:tcPr>
          <w:p w:rsidR="005D0B92" w:rsidRPr="00965E2C" w:rsidRDefault="005D0B92" w:rsidP="00135E30">
            <w:pPr>
              <w:rPr>
                <w:rFonts w:ascii="Arial" w:hAnsi="Arial" w:cs="Arial"/>
                <w:bCs/>
                <w:sz w:val="20"/>
                <w:szCs w:val="20"/>
                <w:lang w:val="es-CR" w:eastAsia="es-CR"/>
              </w:rPr>
            </w:pPr>
            <w:r w:rsidRPr="00965E2C">
              <w:rPr>
                <w:rFonts w:ascii="Arial" w:hAnsi="Arial" w:cs="Arial"/>
                <w:bCs/>
                <w:sz w:val="20"/>
                <w:szCs w:val="20"/>
                <w:lang w:val="es-CR" w:eastAsia="es-CR"/>
              </w:rPr>
              <w:t>Costo de Producción</w:t>
            </w:r>
          </w:p>
        </w:tc>
        <w:tc>
          <w:tcPr>
            <w:tcW w:w="2268" w:type="dxa"/>
            <w:tcBorders>
              <w:top w:val="nil"/>
              <w:left w:val="single" w:sz="8" w:space="0" w:color="auto"/>
              <w:bottom w:val="single" w:sz="4" w:space="0" w:color="auto"/>
              <w:right w:val="single" w:sz="4" w:space="0" w:color="auto"/>
            </w:tcBorders>
            <w:shd w:val="clear" w:color="FFFFFF" w:fill="FFFFFF"/>
            <w:hideMark/>
          </w:tcPr>
          <w:p w:rsidR="005D0B92" w:rsidRPr="00965E2C" w:rsidRDefault="005D0B92" w:rsidP="00135E30">
            <w:pPr>
              <w:jc w:val="right"/>
              <w:rPr>
                <w:rFonts w:ascii="Arial" w:hAnsi="Arial" w:cs="Arial"/>
                <w:sz w:val="20"/>
                <w:szCs w:val="20"/>
                <w:lang w:val="es-CR" w:eastAsia="es-CR"/>
              </w:rPr>
            </w:pPr>
            <w:r w:rsidRPr="00965E2C">
              <w:rPr>
                <w:rFonts w:ascii="Arial" w:hAnsi="Arial" w:cs="Arial"/>
                <w:sz w:val="20"/>
                <w:szCs w:val="20"/>
                <w:lang w:val="es-CR" w:eastAsia="es-CR"/>
              </w:rPr>
              <w:t>871,975,973</w:t>
            </w:r>
          </w:p>
        </w:tc>
        <w:tc>
          <w:tcPr>
            <w:tcW w:w="2268" w:type="dxa"/>
            <w:tcBorders>
              <w:top w:val="nil"/>
              <w:left w:val="single" w:sz="8" w:space="0" w:color="auto"/>
              <w:bottom w:val="single" w:sz="4" w:space="0" w:color="auto"/>
              <w:right w:val="single" w:sz="8" w:space="0" w:color="auto"/>
            </w:tcBorders>
            <w:shd w:val="clear" w:color="FFFFFF" w:fill="FFFFFF"/>
            <w:hideMark/>
          </w:tcPr>
          <w:p w:rsidR="005D0B92" w:rsidRPr="00965E2C" w:rsidRDefault="005D0B92" w:rsidP="00135E30">
            <w:pPr>
              <w:jc w:val="right"/>
              <w:rPr>
                <w:rFonts w:ascii="Arial" w:hAnsi="Arial" w:cs="Arial"/>
                <w:sz w:val="20"/>
                <w:szCs w:val="20"/>
                <w:lang w:val="es-CR" w:eastAsia="es-CR"/>
              </w:rPr>
            </w:pPr>
            <w:r w:rsidRPr="00965E2C">
              <w:rPr>
                <w:rFonts w:ascii="Arial" w:hAnsi="Arial" w:cs="Arial"/>
                <w:sz w:val="20"/>
                <w:szCs w:val="20"/>
                <w:lang w:val="es-CR" w:eastAsia="es-CR"/>
              </w:rPr>
              <w:t>991,449,867</w:t>
            </w:r>
          </w:p>
        </w:tc>
        <w:tc>
          <w:tcPr>
            <w:tcW w:w="1134" w:type="dxa"/>
            <w:tcBorders>
              <w:top w:val="nil"/>
              <w:left w:val="nil"/>
              <w:bottom w:val="single" w:sz="4" w:space="0" w:color="auto"/>
              <w:right w:val="single" w:sz="8" w:space="0" w:color="auto"/>
            </w:tcBorders>
            <w:shd w:val="clear" w:color="FFFFFF" w:fill="FFFFFF"/>
            <w:vAlign w:val="center"/>
            <w:hideMark/>
          </w:tcPr>
          <w:p w:rsidR="005D0B92" w:rsidRPr="00965E2C" w:rsidRDefault="005D0B92" w:rsidP="00135E30">
            <w:pPr>
              <w:jc w:val="right"/>
              <w:rPr>
                <w:rFonts w:ascii="Arial" w:hAnsi="Arial" w:cs="Arial"/>
                <w:sz w:val="20"/>
                <w:szCs w:val="20"/>
                <w:lang w:val="es-CR" w:eastAsia="es-CR"/>
              </w:rPr>
            </w:pPr>
            <w:r w:rsidRPr="00965E2C">
              <w:rPr>
                <w:rFonts w:ascii="Arial" w:hAnsi="Arial" w:cs="Arial"/>
                <w:sz w:val="20"/>
                <w:szCs w:val="20"/>
                <w:lang w:val="es-CR" w:eastAsia="es-CR"/>
              </w:rPr>
              <w:t>13.70%</w:t>
            </w:r>
          </w:p>
        </w:tc>
      </w:tr>
      <w:tr w:rsidR="008E265E" w:rsidRPr="00965E2C" w:rsidTr="00C26505">
        <w:trPr>
          <w:trHeight w:val="238"/>
        </w:trPr>
        <w:tc>
          <w:tcPr>
            <w:tcW w:w="2992" w:type="dxa"/>
            <w:tcBorders>
              <w:top w:val="nil"/>
              <w:left w:val="single" w:sz="8" w:space="0" w:color="auto"/>
              <w:bottom w:val="single" w:sz="4" w:space="0" w:color="auto"/>
              <w:right w:val="single" w:sz="8" w:space="0" w:color="auto"/>
            </w:tcBorders>
            <w:shd w:val="clear" w:color="FFFFFF" w:fill="FFFFFF"/>
            <w:hideMark/>
          </w:tcPr>
          <w:p w:rsidR="005D0B92" w:rsidRPr="00965E2C" w:rsidRDefault="005D0B92" w:rsidP="00135E30">
            <w:pPr>
              <w:rPr>
                <w:rFonts w:ascii="Arial" w:hAnsi="Arial" w:cs="Arial"/>
                <w:bCs/>
                <w:sz w:val="20"/>
                <w:szCs w:val="20"/>
                <w:lang w:val="es-CR" w:eastAsia="es-CR"/>
              </w:rPr>
            </w:pPr>
            <w:r w:rsidRPr="00965E2C">
              <w:rPr>
                <w:rFonts w:ascii="Arial" w:hAnsi="Arial" w:cs="Arial"/>
                <w:bCs/>
                <w:sz w:val="20"/>
                <w:szCs w:val="20"/>
                <w:lang w:val="es-CR" w:eastAsia="es-CR"/>
              </w:rPr>
              <w:t>Gastos de Administración</w:t>
            </w:r>
          </w:p>
        </w:tc>
        <w:tc>
          <w:tcPr>
            <w:tcW w:w="2268" w:type="dxa"/>
            <w:tcBorders>
              <w:top w:val="nil"/>
              <w:left w:val="single" w:sz="8" w:space="0" w:color="auto"/>
              <w:bottom w:val="single" w:sz="4" w:space="0" w:color="auto"/>
              <w:right w:val="single" w:sz="4" w:space="0" w:color="auto"/>
            </w:tcBorders>
            <w:shd w:val="clear" w:color="FFFFFF" w:fill="FFFFFF"/>
            <w:hideMark/>
          </w:tcPr>
          <w:p w:rsidR="005D0B92" w:rsidRPr="00965E2C" w:rsidRDefault="005D0B92" w:rsidP="00135E30">
            <w:pPr>
              <w:jc w:val="right"/>
              <w:rPr>
                <w:rFonts w:ascii="Arial" w:hAnsi="Arial" w:cs="Arial"/>
                <w:sz w:val="20"/>
                <w:szCs w:val="20"/>
                <w:lang w:val="es-CR" w:eastAsia="es-CR"/>
              </w:rPr>
            </w:pPr>
            <w:r w:rsidRPr="00965E2C">
              <w:rPr>
                <w:rFonts w:ascii="Arial" w:hAnsi="Arial" w:cs="Arial"/>
                <w:sz w:val="20"/>
                <w:szCs w:val="20"/>
                <w:lang w:val="es-CR" w:eastAsia="es-CR"/>
              </w:rPr>
              <w:t>8,117,964,491</w:t>
            </w:r>
          </w:p>
        </w:tc>
        <w:tc>
          <w:tcPr>
            <w:tcW w:w="2268" w:type="dxa"/>
            <w:tcBorders>
              <w:top w:val="nil"/>
              <w:left w:val="single" w:sz="8" w:space="0" w:color="auto"/>
              <w:bottom w:val="single" w:sz="4" w:space="0" w:color="auto"/>
              <w:right w:val="single" w:sz="8" w:space="0" w:color="auto"/>
            </w:tcBorders>
            <w:shd w:val="clear" w:color="FFFFFF" w:fill="FFFFFF"/>
            <w:hideMark/>
          </w:tcPr>
          <w:p w:rsidR="005D0B92" w:rsidRPr="00965E2C" w:rsidRDefault="005D0B92" w:rsidP="00135E30">
            <w:pPr>
              <w:jc w:val="right"/>
              <w:rPr>
                <w:rFonts w:ascii="Arial" w:hAnsi="Arial" w:cs="Arial"/>
                <w:sz w:val="20"/>
                <w:szCs w:val="20"/>
                <w:lang w:val="es-CR" w:eastAsia="es-CR"/>
              </w:rPr>
            </w:pPr>
            <w:r w:rsidRPr="00965E2C">
              <w:rPr>
                <w:rFonts w:ascii="Arial" w:hAnsi="Arial" w:cs="Arial"/>
                <w:sz w:val="20"/>
                <w:szCs w:val="20"/>
                <w:lang w:val="es-CR" w:eastAsia="es-CR"/>
              </w:rPr>
              <w:t>8,923,064,431</w:t>
            </w:r>
          </w:p>
        </w:tc>
        <w:tc>
          <w:tcPr>
            <w:tcW w:w="1134" w:type="dxa"/>
            <w:tcBorders>
              <w:top w:val="nil"/>
              <w:left w:val="nil"/>
              <w:bottom w:val="single" w:sz="4" w:space="0" w:color="auto"/>
              <w:right w:val="single" w:sz="8" w:space="0" w:color="auto"/>
            </w:tcBorders>
            <w:shd w:val="clear" w:color="FFFFFF" w:fill="FFFFFF"/>
            <w:vAlign w:val="center"/>
            <w:hideMark/>
          </w:tcPr>
          <w:p w:rsidR="005D0B92" w:rsidRPr="00965E2C" w:rsidRDefault="005D0B92" w:rsidP="00135E30">
            <w:pPr>
              <w:jc w:val="right"/>
              <w:rPr>
                <w:rFonts w:ascii="Arial" w:hAnsi="Arial" w:cs="Arial"/>
                <w:sz w:val="20"/>
                <w:szCs w:val="20"/>
                <w:lang w:val="es-CR" w:eastAsia="es-CR"/>
              </w:rPr>
            </w:pPr>
            <w:r w:rsidRPr="00965E2C">
              <w:rPr>
                <w:rFonts w:ascii="Arial" w:hAnsi="Arial" w:cs="Arial"/>
                <w:sz w:val="20"/>
                <w:szCs w:val="20"/>
                <w:lang w:val="es-CR" w:eastAsia="es-CR"/>
              </w:rPr>
              <w:t>9.92%</w:t>
            </w:r>
          </w:p>
        </w:tc>
      </w:tr>
      <w:tr w:rsidR="008E265E" w:rsidRPr="00965E2C" w:rsidTr="00C26505">
        <w:trPr>
          <w:trHeight w:val="238"/>
        </w:trPr>
        <w:tc>
          <w:tcPr>
            <w:tcW w:w="2992" w:type="dxa"/>
            <w:tcBorders>
              <w:top w:val="nil"/>
              <w:left w:val="single" w:sz="8" w:space="0" w:color="auto"/>
              <w:bottom w:val="single" w:sz="4" w:space="0" w:color="auto"/>
              <w:right w:val="single" w:sz="8" w:space="0" w:color="auto"/>
            </w:tcBorders>
            <w:shd w:val="clear" w:color="FFFFFF" w:fill="FFFFFF"/>
            <w:hideMark/>
          </w:tcPr>
          <w:p w:rsidR="005D0B92" w:rsidRPr="00965E2C" w:rsidRDefault="005D0B92" w:rsidP="00135E30">
            <w:pPr>
              <w:rPr>
                <w:rFonts w:ascii="Arial" w:hAnsi="Arial" w:cs="Arial"/>
                <w:bCs/>
                <w:sz w:val="20"/>
                <w:szCs w:val="20"/>
                <w:lang w:val="es-CR" w:eastAsia="es-CR"/>
              </w:rPr>
            </w:pPr>
            <w:r w:rsidRPr="00965E2C">
              <w:rPr>
                <w:rFonts w:ascii="Arial" w:hAnsi="Arial" w:cs="Arial"/>
                <w:bCs/>
                <w:sz w:val="20"/>
                <w:szCs w:val="20"/>
                <w:lang w:val="es-CR" w:eastAsia="es-CR"/>
              </w:rPr>
              <w:t xml:space="preserve">Costos de Tiquete </w:t>
            </w:r>
          </w:p>
        </w:tc>
        <w:tc>
          <w:tcPr>
            <w:tcW w:w="2268" w:type="dxa"/>
            <w:tcBorders>
              <w:top w:val="nil"/>
              <w:left w:val="single" w:sz="8" w:space="0" w:color="auto"/>
              <w:bottom w:val="single" w:sz="4" w:space="0" w:color="auto"/>
              <w:right w:val="single" w:sz="4" w:space="0" w:color="auto"/>
            </w:tcBorders>
            <w:shd w:val="clear" w:color="FFFFFF" w:fill="FFFFFF"/>
            <w:hideMark/>
          </w:tcPr>
          <w:p w:rsidR="005D0B92" w:rsidRPr="00965E2C" w:rsidRDefault="005D0B92" w:rsidP="00135E30">
            <w:pPr>
              <w:jc w:val="right"/>
              <w:rPr>
                <w:rFonts w:ascii="Arial" w:hAnsi="Arial" w:cs="Arial"/>
                <w:sz w:val="20"/>
                <w:szCs w:val="20"/>
                <w:lang w:val="es-CR" w:eastAsia="es-CR"/>
              </w:rPr>
            </w:pPr>
            <w:r w:rsidRPr="00965E2C">
              <w:rPr>
                <w:rFonts w:ascii="Arial" w:hAnsi="Arial" w:cs="Arial"/>
                <w:sz w:val="20"/>
                <w:szCs w:val="20"/>
                <w:lang w:val="es-CR" w:eastAsia="es-CR"/>
              </w:rPr>
              <w:t>131,526,851</w:t>
            </w:r>
          </w:p>
        </w:tc>
        <w:tc>
          <w:tcPr>
            <w:tcW w:w="2268" w:type="dxa"/>
            <w:tcBorders>
              <w:top w:val="nil"/>
              <w:left w:val="single" w:sz="8" w:space="0" w:color="auto"/>
              <w:bottom w:val="single" w:sz="4" w:space="0" w:color="auto"/>
              <w:right w:val="single" w:sz="8" w:space="0" w:color="auto"/>
            </w:tcBorders>
            <w:shd w:val="clear" w:color="FFFFFF" w:fill="FFFFFF"/>
            <w:hideMark/>
          </w:tcPr>
          <w:p w:rsidR="005D0B92" w:rsidRPr="00965E2C" w:rsidRDefault="005D0B92" w:rsidP="00135E30">
            <w:pPr>
              <w:jc w:val="right"/>
              <w:rPr>
                <w:rFonts w:ascii="Arial" w:hAnsi="Arial" w:cs="Arial"/>
                <w:sz w:val="20"/>
                <w:szCs w:val="20"/>
                <w:lang w:val="es-CR" w:eastAsia="es-CR"/>
              </w:rPr>
            </w:pPr>
            <w:r w:rsidRPr="00965E2C">
              <w:rPr>
                <w:rFonts w:ascii="Arial" w:hAnsi="Arial" w:cs="Arial"/>
                <w:sz w:val="20"/>
                <w:szCs w:val="20"/>
                <w:lang w:val="es-CR" w:eastAsia="es-CR"/>
              </w:rPr>
              <w:t>119,339,725</w:t>
            </w:r>
          </w:p>
        </w:tc>
        <w:tc>
          <w:tcPr>
            <w:tcW w:w="1134" w:type="dxa"/>
            <w:tcBorders>
              <w:top w:val="nil"/>
              <w:left w:val="nil"/>
              <w:bottom w:val="single" w:sz="4" w:space="0" w:color="auto"/>
              <w:right w:val="single" w:sz="8" w:space="0" w:color="auto"/>
            </w:tcBorders>
            <w:shd w:val="clear" w:color="FFFFFF" w:fill="FFFFFF"/>
            <w:vAlign w:val="center"/>
            <w:hideMark/>
          </w:tcPr>
          <w:p w:rsidR="005D0B92" w:rsidRPr="00965E2C" w:rsidRDefault="005D0B92" w:rsidP="00135E30">
            <w:pPr>
              <w:jc w:val="right"/>
              <w:rPr>
                <w:rFonts w:ascii="Arial" w:hAnsi="Arial" w:cs="Arial"/>
                <w:sz w:val="20"/>
                <w:szCs w:val="20"/>
                <w:lang w:val="es-CR" w:eastAsia="es-CR"/>
              </w:rPr>
            </w:pPr>
            <w:r w:rsidRPr="00965E2C">
              <w:rPr>
                <w:rFonts w:ascii="Arial" w:hAnsi="Arial" w:cs="Arial"/>
                <w:sz w:val="20"/>
                <w:szCs w:val="20"/>
                <w:lang w:val="es-CR" w:eastAsia="es-CR"/>
              </w:rPr>
              <w:t> </w:t>
            </w:r>
          </w:p>
        </w:tc>
      </w:tr>
      <w:tr w:rsidR="008E265E" w:rsidRPr="00965E2C" w:rsidTr="00C26505">
        <w:trPr>
          <w:trHeight w:val="238"/>
        </w:trPr>
        <w:tc>
          <w:tcPr>
            <w:tcW w:w="2992" w:type="dxa"/>
            <w:tcBorders>
              <w:top w:val="nil"/>
              <w:left w:val="single" w:sz="8" w:space="0" w:color="auto"/>
              <w:bottom w:val="single" w:sz="4" w:space="0" w:color="auto"/>
              <w:right w:val="single" w:sz="8" w:space="0" w:color="auto"/>
            </w:tcBorders>
            <w:shd w:val="clear" w:color="FFFFFF" w:fill="FFFFFF"/>
            <w:hideMark/>
          </w:tcPr>
          <w:p w:rsidR="005D0B92" w:rsidRPr="00965E2C" w:rsidRDefault="005D0B92" w:rsidP="00135E30">
            <w:pPr>
              <w:rPr>
                <w:rFonts w:ascii="Arial" w:hAnsi="Arial" w:cs="Arial"/>
                <w:bCs/>
                <w:sz w:val="20"/>
                <w:szCs w:val="20"/>
                <w:lang w:val="es-CR" w:eastAsia="es-CR"/>
              </w:rPr>
            </w:pPr>
            <w:r w:rsidRPr="00965E2C">
              <w:rPr>
                <w:rFonts w:ascii="Arial" w:hAnsi="Arial" w:cs="Arial"/>
                <w:bCs/>
                <w:sz w:val="20"/>
                <w:szCs w:val="20"/>
                <w:lang w:val="es-CR" w:eastAsia="es-CR"/>
              </w:rPr>
              <w:t>Gastos de Comercialización</w:t>
            </w:r>
          </w:p>
        </w:tc>
        <w:tc>
          <w:tcPr>
            <w:tcW w:w="2268" w:type="dxa"/>
            <w:tcBorders>
              <w:top w:val="nil"/>
              <w:left w:val="single" w:sz="8" w:space="0" w:color="auto"/>
              <w:bottom w:val="single" w:sz="4" w:space="0" w:color="auto"/>
              <w:right w:val="single" w:sz="4" w:space="0" w:color="auto"/>
            </w:tcBorders>
            <w:shd w:val="clear" w:color="FFFFFF" w:fill="FFFFFF"/>
            <w:hideMark/>
          </w:tcPr>
          <w:p w:rsidR="005D0B92" w:rsidRPr="00965E2C" w:rsidRDefault="005D0B92" w:rsidP="00135E30">
            <w:pPr>
              <w:jc w:val="right"/>
              <w:rPr>
                <w:rFonts w:ascii="Arial" w:hAnsi="Arial" w:cs="Arial"/>
                <w:sz w:val="20"/>
                <w:szCs w:val="20"/>
                <w:lang w:val="es-CR" w:eastAsia="es-CR"/>
              </w:rPr>
            </w:pPr>
            <w:r w:rsidRPr="00965E2C">
              <w:rPr>
                <w:rFonts w:ascii="Arial" w:hAnsi="Arial" w:cs="Arial"/>
                <w:sz w:val="20"/>
                <w:szCs w:val="20"/>
                <w:lang w:val="es-CR" w:eastAsia="es-CR"/>
              </w:rPr>
              <w:t>4,091,684,807</w:t>
            </w:r>
          </w:p>
        </w:tc>
        <w:tc>
          <w:tcPr>
            <w:tcW w:w="2268" w:type="dxa"/>
            <w:tcBorders>
              <w:top w:val="nil"/>
              <w:left w:val="single" w:sz="8" w:space="0" w:color="auto"/>
              <w:bottom w:val="single" w:sz="4" w:space="0" w:color="auto"/>
              <w:right w:val="single" w:sz="8" w:space="0" w:color="auto"/>
            </w:tcBorders>
            <w:shd w:val="clear" w:color="FFFFFF" w:fill="FFFFFF"/>
            <w:hideMark/>
          </w:tcPr>
          <w:p w:rsidR="005D0B92" w:rsidRPr="00965E2C" w:rsidRDefault="005D0B92" w:rsidP="00135E30">
            <w:pPr>
              <w:jc w:val="right"/>
              <w:rPr>
                <w:rFonts w:ascii="Arial" w:hAnsi="Arial" w:cs="Arial"/>
                <w:sz w:val="20"/>
                <w:szCs w:val="20"/>
                <w:lang w:val="es-CR" w:eastAsia="es-CR"/>
              </w:rPr>
            </w:pPr>
            <w:r w:rsidRPr="00965E2C">
              <w:rPr>
                <w:rFonts w:ascii="Arial" w:hAnsi="Arial" w:cs="Arial"/>
                <w:sz w:val="20"/>
                <w:szCs w:val="20"/>
                <w:lang w:val="es-CR" w:eastAsia="es-CR"/>
              </w:rPr>
              <w:t>5,258,050,932</w:t>
            </w:r>
          </w:p>
        </w:tc>
        <w:tc>
          <w:tcPr>
            <w:tcW w:w="1134" w:type="dxa"/>
            <w:tcBorders>
              <w:top w:val="nil"/>
              <w:left w:val="nil"/>
              <w:bottom w:val="single" w:sz="4" w:space="0" w:color="auto"/>
              <w:right w:val="single" w:sz="8" w:space="0" w:color="auto"/>
            </w:tcBorders>
            <w:shd w:val="clear" w:color="FFFFFF" w:fill="FFFFFF"/>
            <w:vAlign w:val="center"/>
            <w:hideMark/>
          </w:tcPr>
          <w:p w:rsidR="005D0B92" w:rsidRPr="00965E2C" w:rsidRDefault="005D0B92" w:rsidP="00135E30">
            <w:pPr>
              <w:jc w:val="right"/>
              <w:rPr>
                <w:rFonts w:ascii="Arial" w:hAnsi="Arial" w:cs="Arial"/>
                <w:sz w:val="20"/>
                <w:szCs w:val="20"/>
                <w:lang w:val="es-CR" w:eastAsia="es-CR"/>
              </w:rPr>
            </w:pPr>
            <w:r w:rsidRPr="00965E2C">
              <w:rPr>
                <w:rFonts w:ascii="Arial" w:hAnsi="Arial" w:cs="Arial"/>
                <w:sz w:val="20"/>
                <w:szCs w:val="20"/>
                <w:lang w:val="es-CR" w:eastAsia="es-CR"/>
              </w:rPr>
              <w:t>28.51%</w:t>
            </w:r>
          </w:p>
        </w:tc>
      </w:tr>
      <w:tr w:rsidR="008E265E" w:rsidRPr="00965E2C" w:rsidTr="00C26505">
        <w:trPr>
          <w:trHeight w:val="238"/>
        </w:trPr>
        <w:tc>
          <w:tcPr>
            <w:tcW w:w="2992" w:type="dxa"/>
            <w:tcBorders>
              <w:top w:val="nil"/>
              <w:left w:val="single" w:sz="8" w:space="0" w:color="auto"/>
              <w:bottom w:val="single" w:sz="4" w:space="0" w:color="auto"/>
              <w:right w:val="single" w:sz="8" w:space="0" w:color="auto"/>
            </w:tcBorders>
            <w:shd w:val="clear" w:color="FFFFFF" w:fill="FFFFFF"/>
            <w:hideMark/>
          </w:tcPr>
          <w:p w:rsidR="005D0B92" w:rsidRPr="00965E2C" w:rsidRDefault="005D0B92" w:rsidP="00135E30">
            <w:pPr>
              <w:rPr>
                <w:rFonts w:ascii="Arial" w:hAnsi="Arial" w:cs="Arial"/>
                <w:bCs/>
                <w:sz w:val="20"/>
                <w:szCs w:val="20"/>
                <w:lang w:val="es-CR" w:eastAsia="es-CR"/>
              </w:rPr>
            </w:pPr>
            <w:r w:rsidRPr="00965E2C">
              <w:rPr>
                <w:rFonts w:ascii="Arial" w:hAnsi="Arial" w:cs="Arial"/>
                <w:bCs/>
                <w:sz w:val="20"/>
                <w:szCs w:val="20"/>
                <w:lang w:val="es-CR" w:eastAsia="es-CR"/>
              </w:rPr>
              <w:t>Aporte Fondo Jubilación</w:t>
            </w:r>
          </w:p>
        </w:tc>
        <w:tc>
          <w:tcPr>
            <w:tcW w:w="2268" w:type="dxa"/>
            <w:tcBorders>
              <w:top w:val="nil"/>
              <w:left w:val="single" w:sz="8" w:space="0" w:color="auto"/>
              <w:bottom w:val="single" w:sz="4" w:space="0" w:color="auto"/>
              <w:right w:val="single" w:sz="4" w:space="0" w:color="auto"/>
            </w:tcBorders>
            <w:shd w:val="clear" w:color="FFFFFF" w:fill="FFFFFF"/>
            <w:hideMark/>
          </w:tcPr>
          <w:p w:rsidR="005D0B92" w:rsidRPr="00965E2C" w:rsidRDefault="005D0B92" w:rsidP="00135E30">
            <w:pPr>
              <w:jc w:val="right"/>
              <w:rPr>
                <w:rFonts w:ascii="Arial" w:hAnsi="Arial" w:cs="Arial"/>
                <w:sz w:val="20"/>
                <w:szCs w:val="20"/>
                <w:lang w:val="es-CR" w:eastAsia="es-CR"/>
              </w:rPr>
            </w:pPr>
            <w:r w:rsidRPr="00965E2C">
              <w:rPr>
                <w:rFonts w:ascii="Arial" w:hAnsi="Arial" w:cs="Arial"/>
                <w:sz w:val="20"/>
                <w:szCs w:val="20"/>
                <w:lang w:val="es-CR" w:eastAsia="es-CR"/>
              </w:rPr>
              <w:t>1,711,331,518</w:t>
            </w:r>
          </w:p>
        </w:tc>
        <w:tc>
          <w:tcPr>
            <w:tcW w:w="2268" w:type="dxa"/>
            <w:tcBorders>
              <w:top w:val="nil"/>
              <w:left w:val="single" w:sz="8" w:space="0" w:color="auto"/>
              <w:bottom w:val="single" w:sz="4" w:space="0" w:color="auto"/>
              <w:right w:val="single" w:sz="8" w:space="0" w:color="auto"/>
            </w:tcBorders>
            <w:shd w:val="clear" w:color="FFFFFF" w:fill="FFFFFF"/>
            <w:hideMark/>
          </w:tcPr>
          <w:p w:rsidR="005D0B92" w:rsidRPr="00965E2C" w:rsidRDefault="005D0B92" w:rsidP="00135E30">
            <w:pPr>
              <w:jc w:val="right"/>
              <w:rPr>
                <w:rFonts w:ascii="Arial" w:hAnsi="Arial" w:cs="Arial"/>
                <w:sz w:val="20"/>
                <w:szCs w:val="20"/>
                <w:lang w:val="es-CR" w:eastAsia="es-CR"/>
              </w:rPr>
            </w:pPr>
            <w:r w:rsidRPr="00965E2C">
              <w:rPr>
                <w:rFonts w:ascii="Arial" w:hAnsi="Arial" w:cs="Arial"/>
                <w:sz w:val="20"/>
                <w:szCs w:val="20"/>
                <w:lang w:val="es-CR" w:eastAsia="es-CR"/>
              </w:rPr>
              <w:t>1,655,541,666</w:t>
            </w:r>
          </w:p>
        </w:tc>
        <w:tc>
          <w:tcPr>
            <w:tcW w:w="1134" w:type="dxa"/>
            <w:tcBorders>
              <w:top w:val="nil"/>
              <w:left w:val="nil"/>
              <w:bottom w:val="single" w:sz="4" w:space="0" w:color="auto"/>
              <w:right w:val="single" w:sz="8" w:space="0" w:color="auto"/>
            </w:tcBorders>
            <w:shd w:val="clear" w:color="FFFFFF" w:fill="FFFFFF"/>
            <w:vAlign w:val="center"/>
            <w:hideMark/>
          </w:tcPr>
          <w:p w:rsidR="005D0B92" w:rsidRPr="00965E2C" w:rsidRDefault="005D0B92" w:rsidP="00135E30">
            <w:pPr>
              <w:jc w:val="right"/>
              <w:rPr>
                <w:rFonts w:ascii="Arial" w:hAnsi="Arial" w:cs="Arial"/>
                <w:sz w:val="20"/>
                <w:szCs w:val="20"/>
                <w:lang w:val="es-CR" w:eastAsia="es-CR"/>
              </w:rPr>
            </w:pPr>
            <w:r w:rsidRPr="00965E2C">
              <w:rPr>
                <w:rFonts w:ascii="Arial" w:hAnsi="Arial" w:cs="Arial"/>
                <w:sz w:val="20"/>
                <w:szCs w:val="20"/>
                <w:lang w:val="es-CR" w:eastAsia="es-CR"/>
              </w:rPr>
              <w:t>-3.26%</w:t>
            </w:r>
          </w:p>
        </w:tc>
      </w:tr>
      <w:tr w:rsidR="008E265E" w:rsidRPr="00965E2C" w:rsidTr="00C26505">
        <w:trPr>
          <w:trHeight w:val="238"/>
        </w:trPr>
        <w:tc>
          <w:tcPr>
            <w:tcW w:w="2992" w:type="dxa"/>
            <w:tcBorders>
              <w:top w:val="nil"/>
              <w:left w:val="single" w:sz="8" w:space="0" w:color="auto"/>
              <w:bottom w:val="single" w:sz="4" w:space="0" w:color="auto"/>
              <w:right w:val="single" w:sz="8" w:space="0" w:color="auto"/>
            </w:tcBorders>
            <w:shd w:val="clear" w:color="FFFFFF" w:fill="FFFFFF"/>
            <w:hideMark/>
          </w:tcPr>
          <w:p w:rsidR="005D0B92" w:rsidRPr="00965E2C" w:rsidRDefault="005D0B92" w:rsidP="00135E30">
            <w:pPr>
              <w:rPr>
                <w:rFonts w:ascii="Arial" w:hAnsi="Arial" w:cs="Arial"/>
                <w:bCs/>
                <w:sz w:val="20"/>
                <w:szCs w:val="20"/>
                <w:lang w:val="es-CR" w:eastAsia="es-CR"/>
              </w:rPr>
            </w:pPr>
            <w:r w:rsidRPr="00965E2C">
              <w:rPr>
                <w:rFonts w:ascii="Arial" w:hAnsi="Arial" w:cs="Arial"/>
                <w:bCs/>
                <w:sz w:val="20"/>
                <w:szCs w:val="20"/>
                <w:lang w:val="es-CR" w:eastAsia="es-CR"/>
              </w:rPr>
              <w:t>Utilidad Neta Antes de Impuesto</w:t>
            </w:r>
          </w:p>
        </w:tc>
        <w:tc>
          <w:tcPr>
            <w:tcW w:w="2268" w:type="dxa"/>
            <w:tcBorders>
              <w:top w:val="nil"/>
              <w:left w:val="single" w:sz="8" w:space="0" w:color="auto"/>
              <w:bottom w:val="single" w:sz="4" w:space="0" w:color="auto"/>
              <w:right w:val="single" w:sz="4" w:space="0" w:color="auto"/>
            </w:tcBorders>
            <w:shd w:val="clear" w:color="FFFFFF" w:fill="FFFFFF"/>
            <w:hideMark/>
          </w:tcPr>
          <w:p w:rsidR="005D0B92" w:rsidRPr="00965E2C" w:rsidRDefault="005D0B92" w:rsidP="00135E30">
            <w:pPr>
              <w:jc w:val="right"/>
              <w:rPr>
                <w:rFonts w:ascii="Arial" w:hAnsi="Arial" w:cs="Arial"/>
                <w:sz w:val="20"/>
                <w:szCs w:val="20"/>
                <w:lang w:val="es-CR" w:eastAsia="es-CR"/>
              </w:rPr>
            </w:pPr>
            <w:r w:rsidRPr="00965E2C">
              <w:rPr>
                <w:rFonts w:ascii="Arial" w:hAnsi="Arial" w:cs="Arial"/>
                <w:sz w:val="20"/>
                <w:szCs w:val="20"/>
                <w:lang w:val="es-CR" w:eastAsia="es-CR"/>
              </w:rPr>
              <w:t>29,820,339,188</w:t>
            </w:r>
          </w:p>
        </w:tc>
        <w:tc>
          <w:tcPr>
            <w:tcW w:w="2268" w:type="dxa"/>
            <w:tcBorders>
              <w:top w:val="nil"/>
              <w:left w:val="single" w:sz="8" w:space="0" w:color="auto"/>
              <w:bottom w:val="single" w:sz="4" w:space="0" w:color="auto"/>
              <w:right w:val="single" w:sz="4" w:space="0" w:color="auto"/>
            </w:tcBorders>
            <w:shd w:val="clear" w:color="auto" w:fill="auto"/>
            <w:noWrap/>
            <w:hideMark/>
          </w:tcPr>
          <w:p w:rsidR="005D0B92" w:rsidRPr="00965E2C" w:rsidRDefault="005D0B92" w:rsidP="00135E30">
            <w:pPr>
              <w:jc w:val="right"/>
              <w:rPr>
                <w:rFonts w:ascii="Arial" w:hAnsi="Arial" w:cs="Arial"/>
                <w:sz w:val="20"/>
                <w:szCs w:val="20"/>
                <w:lang w:val="es-CR" w:eastAsia="es-CR"/>
              </w:rPr>
            </w:pPr>
            <w:r w:rsidRPr="00965E2C">
              <w:rPr>
                <w:rFonts w:ascii="Arial" w:hAnsi="Arial" w:cs="Arial"/>
                <w:sz w:val="20"/>
                <w:szCs w:val="20"/>
                <w:lang w:val="es-CR" w:eastAsia="es-CR"/>
              </w:rPr>
              <w:t>34,464,771,185</w:t>
            </w:r>
          </w:p>
        </w:tc>
        <w:tc>
          <w:tcPr>
            <w:tcW w:w="1134" w:type="dxa"/>
            <w:tcBorders>
              <w:top w:val="nil"/>
              <w:left w:val="single" w:sz="8" w:space="0" w:color="auto"/>
              <w:bottom w:val="single" w:sz="4" w:space="0" w:color="auto"/>
              <w:right w:val="single" w:sz="8" w:space="0" w:color="auto"/>
            </w:tcBorders>
            <w:shd w:val="clear" w:color="FFFFFF" w:fill="FFFFFF"/>
            <w:vAlign w:val="center"/>
            <w:hideMark/>
          </w:tcPr>
          <w:p w:rsidR="005D0B92" w:rsidRPr="00965E2C" w:rsidRDefault="005D0B92" w:rsidP="00135E30">
            <w:pPr>
              <w:jc w:val="right"/>
              <w:rPr>
                <w:rFonts w:ascii="Arial" w:hAnsi="Arial" w:cs="Arial"/>
                <w:sz w:val="20"/>
                <w:szCs w:val="20"/>
                <w:lang w:val="es-CR" w:eastAsia="es-CR"/>
              </w:rPr>
            </w:pPr>
            <w:r w:rsidRPr="00965E2C">
              <w:rPr>
                <w:rFonts w:ascii="Arial" w:hAnsi="Arial" w:cs="Arial"/>
                <w:sz w:val="20"/>
                <w:szCs w:val="20"/>
                <w:lang w:val="es-CR" w:eastAsia="es-CR"/>
              </w:rPr>
              <w:t>15.57%</w:t>
            </w:r>
          </w:p>
        </w:tc>
      </w:tr>
      <w:tr w:rsidR="008E265E" w:rsidRPr="00965E2C" w:rsidTr="00C26505">
        <w:trPr>
          <w:trHeight w:val="238"/>
        </w:trPr>
        <w:tc>
          <w:tcPr>
            <w:tcW w:w="2992" w:type="dxa"/>
            <w:tcBorders>
              <w:top w:val="nil"/>
              <w:left w:val="single" w:sz="8" w:space="0" w:color="auto"/>
              <w:bottom w:val="single" w:sz="4" w:space="0" w:color="auto"/>
              <w:right w:val="single" w:sz="8" w:space="0" w:color="auto"/>
            </w:tcBorders>
            <w:shd w:val="clear" w:color="FFFFFF" w:fill="FFFFFF"/>
            <w:hideMark/>
          </w:tcPr>
          <w:p w:rsidR="005D0B92" w:rsidRPr="00965E2C" w:rsidRDefault="005D0B92" w:rsidP="00135E30">
            <w:pPr>
              <w:rPr>
                <w:rFonts w:ascii="Arial" w:hAnsi="Arial" w:cs="Arial"/>
                <w:bCs/>
                <w:sz w:val="20"/>
                <w:szCs w:val="20"/>
                <w:lang w:val="es-CR" w:eastAsia="es-CR"/>
              </w:rPr>
            </w:pPr>
            <w:r w:rsidRPr="00965E2C">
              <w:rPr>
                <w:rFonts w:ascii="Arial" w:hAnsi="Arial" w:cs="Arial"/>
                <w:bCs/>
                <w:sz w:val="20"/>
                <w:szCs w:val="20"/>
                <w:lang w:val="es-CR" w:eastAsia="es-CR"/>
              </w:rPr>
              <w:t>Impuesto Único de Renta 10%</w:t>
            </w:r>
          </w:p>
        </w:tc>
        <w:tc>
          <w:tcPr>
            <w:tcW w:w="2268" w:type="dxa"/>
            <w:tcBorders>
              <w:top w:val="nil"/>
              <w:left w:val="single" w:sz="8" w:space="0" w:color="auto"/>
              <w:bottom w:val="single" w:sz="4" w:space="0" w:color="auto"/>
              <w:right w:val="single" w:sz="4" w:space="0" w:color="auto"/>
            </w:tcBorders>
            <w:shd w:val="clear" w:color="FFFFFF" w:fill="FFFFFF"/>
            <w:hideMark/>
          </w:tcPr>
          <w:p w:rsidR="005D0B92" w:rsidRPr="00965E2C" w:rsidRDefault="005D0B92" w:rsidP="00135E30">
            <w:pPr>
              <w:jc w:val="right"/>
              <w:rPr>
                <w:rFonts w:ascii="Arial" w:hAnsi="Arial" w:cs="Arial"/>
                <w:sz w:val="20"/>
                <w:szCs w:val="20"/>
                <w:lang w:val="es-CR" w:eastAsia="es-CR"/>
              </w:rPr>
            </w:pPr>
            <w:r w:rsidRPr="00965E2C">
              <w:rPr>
                <w:rFonts w:ascii="Arial" w:hAnsi="Arial" w:cs="Arial"/>
                <w:sz w:val="20"/>
                <w:szCs w:val="20"/>
                <w:lang w:val="es-CR" w:eastAsia="es-CR"/>
              </w:rPr>
              <w:t>2,982,033,919</w:t>
            </w:r>
          </w:p>
        </w:tc>
        <w:tc>
          <w:tcPr>
            <w:tcW w:w="2268" w:type="dxa"/>
            <w:tcBorders>
              <w:top w:val="nil"/>
              <w:left w:val="single" w:sz="8" w:space="0" w:color="auto"/>
              <w:bottom w:val="single" w:sz="4" w:space="0" w:color="auto"/>
              <w:right w:val="single" w:sz="4" w:space="0" w:color="auto"/>
            </w:tcBorders>
            <w:shd w:val="clear" w:color="auto" w:fill="auto"/>
            <w:noWrap/>
            <w:hideMark/>
          </w:tcPr>
          <w:p w:rsidR="005D0B92" w:rsidRPr="00965E2C" w:rsidRDefault="005D0B92" w:rsidP="00135E30">
            <w:pPr>
              <w:jc w:val="right"/>
              <w:rPr>
                <w:rFonts w:ascii="Arial" w:hAnsi="Arial" w:cs="Arial"/>
                <w:sz w:val="20"/>
                <w:szCs w:val="20"/>
                <w:lang w:val="es-CR" w:eastAsia="es-CR"/>
              </w:rPr>
            </w:pPr>
            <w:r w:rsidRPr="00965E2C">
              <w:rPr>
                <w:rFonts w:ascii="Arial" w:hAnsi="Arial" w:cs="Arial"/>
                <w:sz w:val="20"/>
                <w:szCs w:val="20"/>
                <w:lang w:val="es-CR" w:eastAsia="es-CR"/>
              </w:rPr>
              <w:t>3,446,477,119</w:t>
            </w:r>
          </w:p>
        </w:tc>
        <w:tc>
          <w:tcPr>
            <w:tcW w:w="1134" w:type="dxa"/>
            <w:tcBorders>
              <w:top w:val="nil"/>
              <w:left w:val="single" w:sz="8" w:space="0" w:color="auto"/>
              <w:bottom w:val="single" w:sz="4" w:space="0" w:color="auto"/>
              <w:right w:val="single" w:sz="8" w:space="0" w:color="auto"/>
            </w:tcBorders>
            <w:shd w:val="clear" w:color="FFFFFF" w:fill="FFFFFF"/>
            <w:vAlign w:val="center"/>
            <w:hideMark/>
          </w:tcPr>
          <w:p w:rsidR="005D0B92" w:rsidRPr="00965E2C" w:rsidRDefault="005D0B92" w:rsidP="00135E30">
            <w:pPr>
              <w:jc w:val="right"/>
              <w:rPr>
                <w:rFonts w:ascii="Arial" w:hAnsi="Arial" w:cs="Arial"/>
                <w:sz w:val="20"/>
                <w:szCs w:val="20"/>
                <w:lang w:val="es-CR" w:eastAsia="es-CR"/>
              </w:rPr>
            </w:pPr>
            <w:r w:rsidRPr="00965E2C">
              <w:rPr>
                <w:rFonts w:ascii="Arial" w:hAnsi="Arial" w:cs="Arial"/>
                <w:sz w:val="20"/>
                <w:szCs w:val="20"/>
                <w:lang w:val="es-CR" w:eastAsia="es-CR"/>
              </w:rPr>
              <w:t>15.57%</w:t>
            </w:r>
          </w:p>
        </w:tc>
      </w:tr>
      <w:tr w:rsidR="008E265E" w:rsidRPr="00965E2C" w:rsidTr="00C26505">
        <w:trPr>
          <w:trHeight w:val="238"/>
        </w:trPr>
        <w:tc>
          <w:tcPr>
            <w:tcW w:w="2992" w:type="dxa"/>
            <w:tcBorders>
              <w:top w:val="nil"/>
              <w:left w:val="single" w:sz="8" w:space="0" w:color="auto"/>
              <w:bottom w:val="single" w:sz="4" w:space="0" w:color="auto"/>
              <w:right w:val="single" w:sz="8" w:space="0" w:color="auto"/>
            </w:tcBorders>
            <w:shd w:val="clear" w:color="FFFFFF" w:fill="FFFFFF"/>
            <w:hideMark/>
          </w:tcPr>
          <w:p w:rsidR="005D0B92" w:rsidRPr="00965E2C" w:rsidRDefault="005D0B92" w:rsidP="00135E30">
            <w:pPr>
              <w:rPr>
                <w:rFonts w:ascii="Arial" w:hAnsi="Arial" w:cs="Arial"/>
                <w:bCs/>
                <w:sz w:val="20"/>
                <w:szCs w:val="20"/>
                <w:lang w:val="es-CR" w:eastAsia="es-CR"/>
              </w:rPr>
            </w:pPr>
            <w:r w:rsidRPr="00965E2C">
              <w:rPr>
                <w:rFonts w:ascii="Arial" w:hAnsi="Arial" w:cs="Arial"/>
                <w:bCs/>
                <w:sz w:val="20"/>
                <w:szCs w:val="20"/>
                <w:lang w:val="es-CR" w:eastAsia="es-CR"/>
              </w:rPr>
              <w:t>Premios no Cambiados</w:t>
            </w:r>
          </w:p>
        </w:tc>
        <w:tc>
          <w:tcPr>
            <w:tcW w:w="2268" w:type="dxa"/>
            <w:tcBorders>
              <w:top w:val="nil"/>
              <w:left w:val="single" w:sz="8" w:space="0" w:color="auto"/>
              <w:bottom w:val="single" w:sz="4" w:space="0" w:color="auto"/>
              <w:right w:val="single" w:sz="4" w:space="0" w:color="auto"/>
            </w:tcBorders>
            <w:shd w:val="clear" w:color="FFFFFF" w:fill="FFFFFF"/>
            <w:hideMark/>
          </w:tcPr>
          <w:p w:rsidR="005D0B92" w:rsidRPr="00965E2C" w:rsidRDefault="005D0B92" w:rsidP="00135E30">
            <w:pPr>
              <w:jc w:val="right"/>
              <w:rPr>
                <w:rFonts w:ascii="Arial" w:hAnsi="Arial" w:cs="Arial"/>
                <w:sz w:val="20"/>
                <w:szCs w:val="20"/>
                <w:lang w:val="es-CR" w:eastAsia="es-CR"/>
              </w:rPr>
            </w:pPr>
            <w:r w:rsidRPr="00965E2C">
              <w:rPr>
                <w:rFonts w:ascii="Arial" w:hAnsi="Arial" w:cs="Arial"/>
                <w:sz w:val="20"/>
                <w:szCs w:val="20"/>
                <w:lang w:val="es-CR" w:eastAsia="es-CR"/>
              </w:rPr>
              <w:t>7,419,171</w:t>
            </w:r>
          </w:p>
        </w:tc>
        <w:tc>
          <w:tcPr>
            <w:tcW w:w="2268" w:type="dxa"/>
            <w:tcBorders>
              <w:top w:val="nil"/>
              <w:left w:val="single" w:sz="8" w:space="0" w:color="auto"/>
              <w:bottom w:val="single" w:sz="4" w:space="0" w:color="auto"/>
              <w:right w:val="single" w:sz="8" w:space="0" w:color="auto"/>
            </w:tcBorders>
            <w:shd w:val="clear" w:color="FFFFFF" w:fill="FFFFFF"/>
            <w:hideMark/>
          </w:tcPr>
          <w:p w:rsidR="005D0B92" w:rsidRPr="00965E2C" w:rsidRDefault="005D0B92" w:rsidP="00135E30">
            <w:pPr>
              <w:jc w:val="right"/>
              <w:rPr>
                <w:rFonts w:ascii="Arial" w:hAnsi="Arial" w:cs="Arial"/>
                <w:sz w:val="20"/>
                <w:szCs w:val="20"/>
                <w:lang w:val="es-CR" w:eastAsia="es-CR"/>
              </w:rPr>
            </w:pPr>
            <w:r w:rsidRPr="00965E2C">
              <w:rPr>
                <w:rFonts w:ascii="Arial" w:hAnsi="Arial" w:cs="Arial"/>
                <w:sz w:val="20"/>
                <w:szCs w:val="20"/>
                <w:lang w:val="es-CR" w:eastAsia="es-CR"/>
              </w:rPr>
              <w:t>213,552,190</w:t>
            </w:r>
          </w:p>
        </w:tc>
        <w:tc>
          <w:tcPr>
            <w:tcW w:w="1134" w:type="dxa"/>
            <w:tcBorders>
              <w:top w:val="nil"/>
              <w:left w:val="nil"/>
              <w:bottom w:val="single" w:sz="4" w:space="0" w:color="auto"/>
              <w:right w:val="single" w:sz="8" w:space="0" w:color="auto"/>
            </w:tcBorders>
            <w:shd w:val="clear" w:color="FFFFFF" w:fill="FFFFFF"/>
            <w:vAlign w:val="center"/>
            <w:hideMark/>
          </w:tcPr>
          <w:p w:rsidR="005D0B92" w:rsidRPr="00965E2C" w:rsidRDefault="005D0B92" w:rsidP="00135E30">
            <w:pPr>
              <w:jc w:val="right"/>
              <w:rPr>
                <w:rFonts w:ascii="Arial" w:hAnsi="Arial" w:cs="Arial"/>
                <w:sz w:val="20"/>
                <w:szCs w:val="20"/>
                <w:lang w:val="es-CR" w:eastAsia="es-CR"/>
              </w:rPr>
            </w:pPr>
            <w:r w:rsidRPr="00965E2C">
              <w:rPr>
                <w:rFonts w:ascii="Arial" w:hAnsi="Arial" w:cs="Arial"/>
                <w:sz w:val="20"/>
                <w:szCs w:val="20"/>
                <w:lang w:val="es-CR" w:eastAsia="es-CR"/>
              </w:rPr>
              <w:t>2778.38%</w:t>
            </w:r>
          </w:p>
        </w:tc>
      </w:tr>
      <w:tr w:rsidR="008E265E" w:rsidRPr="00965E2C" w:rsidTr="00C26505">
        <w:trPr>
          <w:trHeight w:val="238"/>
        </w:trPr>
        <w:tc>
          <w:tcPr>
            <w:tcW w:w="2992" w:type="dxa"/>
            <w:tcBorders>
              <w:top w:val="nil"/>
              <w:left w:val="single" w:sz="8" w:space="0" w:color="auto"/>
              <w:bottom w:val="single" w:sz="4" w:space="0" w:color="auto"/>
              <w:right w:val="single" w:sz="8" w:space="0" w:color="auto"/>
            </w:tcBorders>
            <w:shd w:val="clear" w:color="FFFFFF" w:fill="FFFFFF"/>
            <w:hideMark/>
          </w:tcPr>
          <w:p w:rsidR="005D0B92" w:rsidRPr="00965E2C" w:rsidRDefault="005D0B92" w:rsidP="00135E30">
            <w:pPr>
              <w:rPr>
                <w:rFonts w:ascii="Arial" w:hAnsi="Arial" w:cs="Arial"/>
                <w:bCs/>
                <w:sz w:val="20"/>
                <w:szCs w:val="20"/>
                <w:lang w:val="es-CR" w:eastAsia="es-CR"/>
              </w:rPr>
            </w:pPr>
            <w:r w:rsidRPr="00965E2C">
              <w:rPr>
                <w:rFonts w:ascii="Arial" w:hAnsi="Arial" w:cs="Arial"/>
                <w:bCs/>
                <w:sz w:val="20"/>
                <w:szCs w:val="20"/>
                <w:lang w:val="es-CR" w:eastAsia="es-CR"/>
              </w:rPr>
              <w:t xml:space="preserve">Instantánea </w:t>
            </w:r>
          </w:p>
        </w:tc>
        <w:tc>
          <w:tcPr>
            <w:tcW w:w="2268" w:type="dxa"/>
            <w:tcBorders>
              <w:top w:val="nil"/>
              <w:left w:val="single" w:sz="8" w:space="0" w:color="auto"/>
              <w:bottom w:val="single" w:sz="4" w:space="0" w:color="auto"/>
              <w:right w:val="single" w:sz="4" w:space="0" w:color="auto"/>
            </w:tcBorders>
            <w:shd w:val="clear" w:color="FFFFFF" w:fill="FFFFFF"/>
            <w:hideMark/>
          </w:tcPr>
          <w:p w:rsidR="005D0B92" w:rsidRPr="00965E2C" w:rsidRDefault="005D0B92" w:rsidP="00135E30">
            <w:pPr>
              <w:rPr>
                <w:rFonts w:ascii="Arial" w:hAnsi="Arial" w:cs="Arial"/>
                <w:sz w:val="20"/>
                <w:szCs w:val="20"/>
                <w:lang w:val="es-CR" w:eastAsia="es-CR"/>
              </w:rPr>
            </w:pPr>
            <w:r w:rsidRPr="00965E2C">
              <w:rPr>
                <w:rFonts w:ascii="Arial" w:hAnsi="Arial" w:cs="Arial"/>
                <w:sz w:val="20"/>
                <w:szCs w:val="20"/>
                <w:lang w:val="es-CR" w:eastAsia="es-CR"/>
              </w:rPr>
              <w:t> </w:t>
            </w:r>
          </w:p>
        </w:tc>
        <w:tc>
          <w:tcPr>
            <w:tcW w:w="2268" w:type="dxa"/>
            <w:tcBorders>
              <w:top w:val="nil"/>
              <w:left w:val="single" w:sz="8" w:space="0" w:color="auto"/>
              <w:bottom w:val="single" w:sz="4" w:space="0" w:color="auto"/>
              <w:right w:val="single" w:sz="8" w:space="0" w:color="auto"/>
            </w:tcBorders>
            <w:shd w:val="clear" w:color="FFFFFF" w:fill="FFFFFF"/>
            <w:hideMark/>
          </w:tcPr>
          <w:p w:rsidR="005D0B92" w:rsidRPr="00965E2C" w:rsidRDefault="005D0B92" w:rsidP="00135E30">
            <w:pPr>
              <w:rPr>
                <w:rFonts w:ascii="Arial" w:hAnsi="Arial" w:cs="Arial"/>
                <w:sz w:val="20"/>
                <w:szCs w:val="20"/>
                <w:lang w:val="es-CR" w:eastAsia="es-CR"/>
              </w:rPr>
            </w:pPr>
            <w:r w:rsidRPr="00965E2C">
              <w:rPr>
                <w:rFonts w:ascii="Arial" w:hAnsi="Arial" w:cs="Arial"/>
                <w:sz w:val="20"/>
                <w:szCs w:val="20"/>
                <w:lang w:val="es-CR" w:eastAsia="es-CR"/>
              </w:rPr>
              <w:t> </w:t>
            </w:r>
          </w:p>
        </w:tc>
        <w:tc>
          <w:tcPr>
            <w:tcW w:w="1134" w:type="dxa"/>
            <w:tcBorders>
              <w:top w:val="nil"/>
              <w:left w:val="nil"/>
              <w:bottom w:val="single" w:sz="4" w:space="0" w:color="auto"/>
              <w:right w:val="single" w:sz="8" w:space="0" w:color="auto"/>
            </w:tcBorders>
            <w:shd w:val="clear" w:color="FFFFFF" w:fill="FFFFFF"/>
            <w:vAlign w:val="center"/>
            <w:hideMark/>
          </w:tcPr>
          <w:p w:rsidR="005D0B92" w:rsidRPr="00965E2C" w:rsidRDefault="005D0B92" w:rsidP="00135E30">
            <w:pPr>
              <w:jc w:val="right"/>
              <w:rPr>
                <w:rFonts w:ascii="Arial" w:hAnsi="Arial" w:cs="Arial"/>
                <w:sz w:val="20"/>
                <w:szCs w:val="20"/>
                <w:lang w:val="es-CR" w:eastAsia="es-CR"/>
              </w:rPr>
            </w:pPr>
            <w:r w:rsidRPr="00965E2C">
              <w:rPr>
                <w:rFonts w:ascii="Arial" w:hAnsi="Arial" w:cs="Arial"/>
                <w:sz w:val="20"/>
                <w:szCs w:val="20"/>
                <w:lang w:val="es-CR" w:eastAsia="es-CR"/>
              </w:rPr>
              <w:t> </w:t>
            </w:r>
          </w:p>
        </w:tc>
      </w:tr>
      <w:tr w:rsidR="008E265E" w:rsidRPr="00965E2C" w:rsidTr="00C26505">
        <w:trPr>
          <w:trHeight w:val="238"/>
        </w:trPr>
        <w:tc>
          <w:tcPr>
            <w:tcW w:w="2992" w:type="dxa"/>
            <w:tcBorders>
              <w:top w:val="nil"/>
              <w:left w:val="single" w:sz="8" w:space="0" w:color="auto"/>
              <w:bottom w:val="single" w:sz="8" w:space="0" w:color="auto"/>
              <w:right w:val="single" w:sz="8" w:space="0" w:color="auto"/>
            </w:tcBorders>
            <w:shd w:val="clear" w:color="FFFFFF" w:fill="FFFFFF"/>
            <w:hideMark/>
          </w:tcPr>
          <w:p w:rsidR="005D0B92" w:rsidRPr="00965E2C" w:rsidRDefault="005D0B92" w:rsidP="00135E30">
            <w:pPr>
              <w:rPr>
                <w:rFonts w:ascii="Arial" w:hAnsi="Arial" w:cs="Arial"/>
                <w:bCs/>
                <w:sz w:val="20"/>
                <w:szCs w:val="20"/>
                <w:lang w:val="es-CR" w:eastAsia="es-CR"/>
              </w:rPr>
            </w:pPr>
            <w:r w:rsidRPr="00965E2C">
              <w:rPr>
                <w:rFonts w:ascii="Arial" w:hAnsi="Arial" w:cs="Arial"/>
                <w:bCs/>
                <w:sz w:val="20"/>
                <w:szCs w:val="20"/>
                <w:lang w:val="es-CR" w:eastAsia="es-CR"/>
              </w:rPr>
              <w:t>Utilidad Neta por Distribuir</w:t>
            </w:r>
          </w:p>
        </w:tc>
        <w:tc>
          <w:tcPr>
            <w:tcW w:w="2268" w:type="dxa"/>
            <w:tcBorders>
              <w:top w:val="nil"/>
              <w:left w:val="single" w:sz="8" w:space="0" w:color="auto"/>
              <w:bottom w:val="nil"/>
              <w:right w:val="single" w:sz="4" w:space="0" w:color="auto"/>
            </w:tcBorders>
            <w:shd w:val="clear" w:color="FFFFFF" w:fill="FFFFFF"/>
            <w:hideMark/>
          </w:tcPr>
          <w:p w:rsidR="005D0B92" w:rsidRPr="00965E2C" w:rsidRDefault="005D0B92" w:rsidP="00135E30">
            <w:pPr>
              <w:jc w:val="right"/>
              <w:rPr>
                <w:rFonts w:ascii="Arial" w:hAnsi="Arial" w:cs="Arial"/>
                <w:bCs/>
                <w:sz w:val="20"/>
                <w:szCs w:val="20"/>
                <w:lang w:val="es-CR" w:eastAsia="es-CR"/>
              </w:rPr>
            </w:pPr>
            <w:r w:rsidRPr="00965E2C">
              <w:rPr>
                <w:rFonts w:ascii="Arial" w:hAnsi="Arial" w:cs="Arial"/>
                <w:bCs/>
                <w:sz w:val="20"/>
                <w:szCs w:val="20"/>
                <w:lang w:val="es-CR" w:eastAsia="es-CR"/>
              </w:rPr>
              <w:t>26,845,724,440</w:t>
            </w:r>
          </w:p>
        </w:tc>
        <w:tc>
          <w:tcPr>
            <w:tcW w:w="2268" w:type="dxa"/>
            <w:tcBorders>
              <w:top w:val="nil"/>
              <w:left w:val="single" w:sz="8" w:space="0" w:color="auto"/>
              <w:bottom w:val="nil"/>
              <w:right w:val="single" w:sz="8" w:space="0" w:color="auto"/>
            </w:tcBorders>
            <w:shd w:val="clear" w:color="auto" w:fill="auto"/>
            <w:hideMark/>
          </w:tcPr>
          <w:p w:rsidR="005D0B92" w:rsidRPr="00965E2C" w:rsidRDefault="005D0B92" w:rsidP="00135E30">
            <w:pPr>
              <w:jc w:val="right"/>
              <w:rPr>
                <w:rFonts w:ascii="Arial" w:hAnsi="Arial" w:cs="Arial"/>
                <w:bCs/>
                <w:sz w:val="20"/>
                <w:szCs w:val="20"/>
                <w:lang w:val="es-CR" w:eastAsia="es-CR"/>
              </w:rPr>
            </w:pPr>
            <w:r w:rsidRPr="00965E2C">
              <w:rPr>
                <w:rFonts w:ascii="Arial" w:hAnsi="Arial" w:cs="Arial"/>
                <w:bCs/>
                <w:sz w:val="20"/>
                <w:szCs w:val="20"/>
                <w:lang w:val="es-CR" w:eastAsia="es-CR"/>
              </w:rPr>
              <w:t>31,231,846,257</w:t>
            </w:r>
          </w:p>
        </w:tc>
        <w:tc>
          <w:tcPr>
            <w:tcW w:w="1134" w:type="dxa"/>
            <w:tcBorders>
              <w:top w:val="nil"/>
              <w:left w:val="nil"/>
              <w:bottom w:val="single" w:sz="8" w:space="0" w:color="auto"/>
              <w:right w:val="single" w:sz="8" w:space="0" w:color="auto"/>
            </w:tcBorders>
            <w:shd w:val="clear" w:color="FFFFFF" w:fill="FFFFFF"/>
            <w:vAlign w:val="center"/>
            <w:hideMark/>
          </w:tcPr>
          <w:p w:rsidR="005D0B92" w:rsidRPr="00965E2C" w:rsidRDefault="005D0B92" w:rsidP="00135E30">
            <w:pPr>
              <w:jc w:val="right"/>
              <w:rPr>
                <w:rFonts w:ascii="Arial" w:hAnsi="Arial" w:cs="Arial"/>
                <w:bCs/>
                <w:sz w:val="20"/>
                <w:szCs w:val="20"/>
                <w:lang w:val="es-CR" w:eastAsia="es-CR"/>
              </w:rPr>
            </w:pPr>
            <w:r w:rsidRPr="00965E2C">
              <w:rPr>
                <w:rFonts w:ascii="Arial" w:hAnsi="Arial" w:cs="Arial"/>
                <w:bCs/>
                <w:sz w:val="20"/>
                <w:szCs w:val="20"/>
                <w:lang w:val="es-CR" w:eastAsia="es-CR"/>
              </w:rPr>
              <w:t>16.34%</w:t>
            </w:r>
          </w:p>
        </w:tc>
      </w:tr>
      <w:tr w:rsidR="008E265E" w:rsidRPr="00965E2C" w:rsidTr="00C26505">
        <w:trPr>
          <w:trHeight w:val="238"/>
        </w:trPr>
        <w:tc>
          <w:tcPr>
            <w:tcW w:w="2992" w:type="dxa"/>
            <w:tcBorders>
              <w:top w:val="nil"/>
              <w:left w:val="single" w:sz="8" w:space="0" w:color="auto"/>
              <w:bottom w:val="single" w:sz="8" w:space="0" w:color="auto"/>
              <w:right w:val="single" w:sz="8" w:space="0" w:color="auto"/>
            </w:tcBorders>
            <w:shd w:val="clear" w:color="000000" w:fill="92D050"/>
            <w:hideMark/>
          </w:tcPr>
          <w:p w:rsidR="005D0B92" w:rsidRPr="00965E2C" w:rsidRDefault="005D0B92" w:rsidP="00135E30">
            <w:pPr>
              <w:rPr>
                <w:rFonts w:ascii="Arial" w:hAnsi="Arial" w:cs="Arial"/>
                <w:sz w:val="20"/>
                <w:szCs w:val="20"/>
                <w:lang w:val="es-CR" w:eastAsia="es-CR"/>
              </w:rPr>
            </w:pPr>
            <w:r w:rsidRPr="00965E2C">
              <w:rPr>
                <w:rFonts w:ascii="Arial" w:hAnsi="Arial" w:cs="Arial"/>
                <w:sz w:val="20"/>
                <w:szCs w:val="20"/>
                <w:lang w:val="es-CR" w:eastAsia="es-CR"/>
              </w:rPr>
              <w:t> </w:t>
            </w:r>
          </w:p>
        </w:tc>
        <w:tc>
          <w:tcPr>
            <w:tcW w:w="2268" w:type="dxa"/>
            <w:tcBorders>
              <w:top w:val="single" w:sz="8" w:space="0" w:color="auto"/>
              <w:left w:val="single" w:sz="8" w:space="0" w:color="auto"/>
              <w:bottom w:val="single" w:sz="8" w:space="0" w:color="auto"/>
              <w:right w:val="nil"/>
            </w:tcBorders>
            <w:shd w:val="clear" w:color="000000" w:fill="93CDDD"/>
            <w:hideMark/>
          </w:tcPr>
          <w:p w:rsidR="005D0B92" w:rsidRPr="00965E2C" w:rsidRDefault="005D0B92" w:rsidP="00135E30">
            <w:pPr>
              <w:rPr>
                <w:rFonts w:ascii="Arial" w:hAnsi="Arial" w:cs="Arial"/>
                <w:sz w:val="20"/>
                <w:szCs w:val="20"/>
                <w:lang w:val="es-CR" w:eastAsia="es-CR"/>
              </w:rPr>
            </w:pPr>
            <w:r w:rsidRPr="00965E2C">
              <w:rPr>
                <w:rFonts w:ascii="Arial" w:hAnsi="Arial" w:cs="Arial"/>
                <w:sz w:val="20"/>
                <w:szCs w:val="20"/>
                <w:lang w:val="es-CR" w:eastAsia="es-CR"/>
              </w:rPr>
              <w:t> </w:t>
            </w:r>
          </w:p>
        </w:tc>
        <w:tc>
          <w:tcPr>
            <w:tcW w:w="2268" w:type="dxa"/>
            <w:tcBorders>
              <w:top w:val="single" w:sz="8" w:space="0" w:color="auto"/>
              <w:left w:val="single" w:sz="8" w:space="0" w:color="auto"/>
              <w:bottom w:val="single" w:sz="8" w:space="0" w:color="auto"/>
              <w:right w:val="single" w:sz="8" w:space="0" w:color="auto"/>
            </w:tcBorders>
            <w:shd w:val="clear" w:color="000000" w:fill="93CDDD"/>
            <w:hideMark/>
          </w:tcPr>
          <w:p w:rsidR="005D0B92" w:rsidRPr="00965E2C" w:rsidRDefault="005D0B92" w:rsidP="00135E30">
            <w:pPr>
              <w:rPr>
                <w:rFonts w:ascii="Arial" w:hAnsi="Arial" w:cs="Arial"/>
                <w:sz w:val="20"/>
                <w:szCs w:val="20"/>
                <w:lang w:val="es-CR" w:eastAsia="es-CR"/>
              </w:rPr>
            </w:pPr>
            <w:r w:rsidRPr="00965E2C">
              <w:rPr>
                <w:rFonts w:ascii="Arial" w:hAnsi="Arial" w:cs="Arial"/>
                <w:sz w:val="20"/>
                <w:szCs w:val="20"/>
                <w:lang w:val="es-CR" w:eastAsia="es-CR"/>
              </w:rPr>
              <w:t> </w:t>
            </w:r>
          </w:p>
        </w:tc>
        <w:tc>
          <w:tcPr>
            <w:tcW w:w="1134" w:type="dxa"/>
            <w:tcBorders>
              <w:top w:val="nil"/>
              <w:left w:val="nil"/>
              <w:bottom w:val="single" w:sz="8" w:space="0" w:color="auto"/>
              <w:right w:val="single" w:sz="8" w:space="0" w:color="auto"/>
            </w:tcBorders>
            <w:shd w:val="clear" w:color="000000" w:fill="93CDDD"/>
            <w:vAlign w:val="center"/>
            <w:hideMark/>
          </w:tcPr>
          <w:p w:rsidR="005D0B92" w:rsidRPr="00965E2C" w:rsidRDefault="005D0B92" w:rsidP="00135E30">
            <w:pPr>
              <w:jc w:val="right"/>
              <w:rPr>
                <w:rFonts w:ascii="Arial" w:hAnsi="Arial" w:cs="Arial"/>
                <w:sz w:val="20"/>
                <w:szCs w:val="20"/>
                <w:lang w:val="es-CR" w:eastAsia="es-CR"/>
              </w:rPr>
            </w:pPr>
            <w:r w:rsidRPr="00965E2C">
              <w:rPr>
                <w:rFonts w:ascii="Arial" w:hAnsi="Arial" w:cs="Arial"/>
                <w:sz w:val="20"/>
                <w:szCs w:val="20"/>
                <w:lang w:val="es-CR" w:eastAsia="es-CR"/>
              </w:rPr>
              <w:t> </w:t>
            </w:r>
          </w:p>
        </w:tc>
      </w:tr>
      <w:tr w:rsidR="008E265E" w:rsidRPr="00965E2C" w:rsidTr="00C26505">
        <w:trPr>
          <w:trHeight w:val="238"/>
        </w:trPr>
        <w:tc>
          <w:tcPr>
            <w:tcW w:w="2992" w:type="dxa"/>
            <w:tcBorders>
              <w:top w:val="nil"/>
              <w:left w:val="single" w:sz="8" w:space="0" w:color="auto"/>
              <w:bottom w:val="single" w:sz="4" w:space="0" w:color="auto"/>
              <w:right w:val="single" w:sz="8" w:space="0" w:color="auto"/>
            </w:tcBorders>
            <w:shd w:val="clear" w:color="FFFFFF" w:fill="FFFFFF"/>
            <w:hideMark/>
          </w:tcPr>
          <w:p w:rsidR="005D0B92" w:rsidRPr="00965E2C" w:rsidRDefault="005D0B92" w:rsidP="00135E30">
            <w:pPr>
              <w:rPr>
                <w:rFonts w:ascii="Arial" w:hAnsi="Arial" w:cs="Arial"/>
                <w:bCs/>
                <w:sz w:val="20"/>
                <w:szCs w:val="20"/>
                <w:lang w:val="es-CR" w:eastAsia="es-CR"/>
              </w:rPr>
            </w:pPr>
            <w:r w:rsidRPr="00965E2C">
              <w:rPr>
                <w:rFonts w:ascii="Arial" w:hAnsi="Arial" w:cs="Arial"/>
                <w:bCs/>
                <w:sz w:val="20"/>
                <w:szCs w:val="20"/>
                <w:lang w:val="es-CR" w:eastAsia="es-CR"/>
              </w:rPr>
              <w:t>Indicador Lotería No Distribuida</w:t>
            </w:r>
          </w:p>
        </w:tc>
        <w:tc>
          <w:tcPr>
            <w:tcW w:w="2268" w:type="dxa"/>
            <w:tcBorders>
              <w:top w:val="nil"/>
              <w:left w:val="single" w:sz="8" w:space="0" w:color="auto"/>
              <w:bottom w:val="single" w:sz="4" w:space="0" w:color="auto"/>
              <w:right w:val="single" w:sz="4" w:space="0" w:color="auto"/>
            </w:tcBorders>
            <w:shd w:val="clear" w:color="FFFFFF" w:fill="FFFFFF"/>
            <w:hideMark/>
          </w:tcPr>
          <w:p w:rsidR="005D0B92" w:rsidRPr="00965E2C" w:rsidRDefault="005D0B92" w:rsidP="00135E30">
            <w:pPr>
              <w:jc w:val="right"/>
              <w:rPr>
                <w:rFonts w:ascii="Arial" w:hAnsi="Arial" w:cs="Arial"/>
                <w:sz w:val="20"/>
                <w:szCs w:val="20"/>
                <w:lang w:val="es-CR" w:eastAsia="es-CR"/>
              </w:rPr>
            </w:pPr>
            <w:r w:rsidRPr="00965E2C">
              <w:rPr>
                <w:rFonts w:ascii="Arial" w:hAnsi="Arial" w:cs="Arial"/>
                <w:sz w:val="20"/>
                <w:szCs w:val="20"/>
                <w:lang w:val="es-CR" w:eastAsia="es-CR"/>
              </w:rPr>
              <w:t>6.56%</w:t>
            </w:r>
          </w:p>
        </w:tc>
        <w:tc>
          <w:tcPr>
            <w:tcW w:w="2268" w:type="dxa"/>
            <w:tcBorders>
              <w:top w:val="nil"/>
              <w:left w:val="single" w:sz="8" w:space="0" w:color="auto"/>
              <w:bottom w:val="single" w:sz="4" w:space="0" w:color="auto"/>
              <w:right w:val="single" w:sz="8" w:space="0" w:color="auto"/>
            </w:tcBorders>
            <w:shd w:val="clear" w:color="FFFFFF" w:fill="FFFFFF"/>
            <w:hideMark/>
          </w:tcPr>
          <w:p w:rsidR="005D0B92" w:rsidRPr="00965E2C" w:rsidRDefault="005D0B92" w:rsidP="00135E30">
            <w:pPr>
              <w:jc w:val="right"/>
              <w:rPr>
                <w:rFonts w:ascii="Arial" w:hAnsi="Arial" w:cs="Arial"/>
                <w:sz w:val="20"/>
                <w:szCs w:val="20"/>
                <w:lang w:val="es-CR" w:eastAsia="es-CR"/>
              </w:rPr>
            </w:pPr>
            <w:r w:rsidRPr="00965E2C">
              <w:rPr>
                <w:rFonts w:ascii="Arial" w:hAnsi="Arial" w:cs="Arial"/>
                <w:sz w:val="20"/>
                <w:szCs w:val="20"/>
                <w:lang w:val="es-CR" w:eastAsia="es-CR"/>
              </w:rPr>
              <w:t>8.85%</w:t>
            </w:r>
          </w:p>
        </w:tc>
        <w:tc>
          <w:tcPr>
            <w:tcW w:w="1134" w:type="dxa"/>
            <w:tcBorders>
              <w:top w:val="nil"/>
              <w:left w:val="nil"/>
              <w:bottom w:val="single" w:sz="4" w:space="0" w:color="auto"/>
              <w:right w:val="single" w:sz="8" w:space="0" w:color="auto"/>
            </w:tcBorders>
            <w:shd w:val="clear" w:color="FFFFFF" w:fill="FFFFFF"/>
            <w:vAlign w:val="center"/>
            <w:hideMark/>
          </w:tcPr>
          <w:p w:rsidR="005D0B92" w:rsidRPr="00965E2C" w:rsidRDefault="005D0B92" w:rsidP="00135E30">
            <w:pPr>
              <w:jc w:val="right"/>
              <w:rPr>
                <w:rFonts w:ascii="Arial" w:hAnsi="Arial" w:cs="Arial"/>
                <w:sz w:val="20"/>
                <w:szCs w:val="20"/>
                <w:lang w:val="es-CR" w:eastAsia="es-CR"/>
              </w:rPr>
            </w:pPr>
            <w:r w:rsidRPr="00965E2C">
              <w:rPr>
                <w:rFonts w:ascii="Arial" w:hAnsi="Arial" w:cs="Arial"/>
                <w:sz w:val="20"/>
                <w:szCs w:val="20"/>
                <w:lang w:val="es-CR" w:eastAsia="es-CR"/>
              </w:rPr>
              <w:t> </w:t>
            </w:r>
          </w:p>
        </w:tc>
      </w:tr>
      <w:tr w:rsidR="008E265E" w:rsidRPr="00965E2C" w:rsidTr="00C26505">
        <w:trPr>
          <w:trHeight w:val="238"/>
        </w:trPr>
        <w:tc>
          <w:tcPr>
            <w:tcW w:w="2992" w:type="dxa"/>
            <w:tcBorders>
              <w:top w:val="nil"/>
              <w:left w:val="single" w:sz="8" w:space="0" w:color="auto"/>
              <w:bottom w:val="single" w:sz="4" w:space="0" w:color="auto"/>
              <w:right w:val="single" w:sz="8" w:space="0" w:color="auto"/>
            </w:tcBorders>
            <w:shd w:val="clear" w:color="FFFFFF" w:fill="FFFFFF"/>
            <w:hideMark/>
          </w:tcPr>
          <w:p w:rsidR="005D0B92" w:rsidRPr="00965E2C" w:rsidRDefault="005D0B92" w:rsidP="00135E30">
            <w:pPr>
              <w:rPr>
                <w:rFonts w:ascii="Arial" w:hAnsi="Arial" w:cs="Arial"/>
                <w:bCs/>
                <w:sz w:val="20"/>
                <w:szCs w:val="20"/>
                <w:lang w:val="es-CR" w:eastAsia="es-CR"/>
              </w:rPr>
            </w:pPr>
            <w:r w:rsidRPr="00965E2C">
              <w:rPr>
                <w:rFonts w:ascii="Arial" w:hAnsi="Arial" w:cs="Arial"/>
                <w:bCs/>
                <w:sz w:val="20"/>
                <w:szCs w:val="20"/>
                <w:lang w:val="es-CR" w:eastAsia="es-CR"/>
              </w:rPr>
              <w:t>Indicador Devolución</w:t>
            </w:r>
          </w:p>
        </w:tc>
        <w:tc>
          <w:tcPr>
            <w:tcW w:w="2268" w:type="dxa"/>
            <w:tcBorders>
              <w:top w:val="nil"/>
              <w:left w:val="single" w:sz="8" w:space="0" w:color="auto"/>
              <w:bottom w:val="single" w:sz="4" w:space="0" w:color="auto"/>
              <w:right w:val="single" w:sz="4" w:space="0" w:color="auto"/>
            </w:tcBorders>
            <w:shd w:val="clear" w:color="FFFFFF" w:fill="FFFFFF"/>
            <w:hideMark/>
          </w:tcPr>
          <w:p w:rsidR="005D0B92" w:rsidRPr="00965E2C" w:rsidRDefault="005D0B92" w:rsidP="00135E30">
            <w:pPr>
              <w:jc w:val="right"/>
              <w:rPr>
                <w:rFonts w:ascii="Arial" w:hAnsi="Arial" w:cs="Arial"/>
                <w:sz w:val="20"/>
                <w:szCs w:val="20"/>
                <w:lang w:val="es-CR" w:eastAsia="es-CR"/>
              </w:rPr>
            </w:pPr>
            <w:r w:rsidRPr="00965E2C">
              <w:rPr>
                <w:rFonts w:ascii="Arial" w:hAnsi="Arial" w:cs="Arial"/>
                <w:sz w:val="20"/>
                <w:szCs w:val="20"/>
                <w:lang w:val="es-CR" w:eastAsia="es-CR"/>
              </w:rPr>
              <w:t>11.65%</w:t>
            </w:r>
          </w:p>
        </w:tc>
        <w:tc>
          <w:tcPr>
            <w:tcW w:w="2268" w:type="dxa"/>
            <w:tcBorders>
              <w:top w:val="nil"/>
              <w:left w:val="single" w:sz="8" w:space="0" w:color="auto"/>
              <w:bottom w:val="single" w:sz="4" w:space="0" w:color="auto"/>
              <w:right w:val="single" w:sz="8" w:space="0" w:color="auto"/>
            </w:tcBorders>
            <w:shd w:val="clear" w:color="FFFFFF" w:fill="FFFFFF"/>
            <w:hideMark/>
          </w:tcPr>
          <w:p w:rsidR="005D0B92" w:rsidRPr="00965E2C" w:rsidRDefault="005D0B92" w:rsidP="00135E30">
            <w:pPr>
              <w:jc w:val="right"/>
              <w:rPr>
                <w:rFonts w:ascii="Arial" w:hAnsi="Arial" w:cs="Arial"/>
                <w:sz w:val="20"/>
                <w:szCs w:val="20"/>
                <w:lang w:val="es-CR" w:eastAsia="es-CR"/>
              </w:rPr>
            </w:pPr>
            <w:r w:rsidRPr="00965E2C">
              <w:rPr>
                <w:rFonts w:ascii="Arial" w:hAnsi="Arial" w:cs="Arial"/>
                <w:sz w:val="20"/>
                <w:szCs w:val="20"/>
                <w:lang w:val="es-CR" w:eastAsia="es-CR"/>
              </w:rPr>
              <w:t>16.23%</w:t>
            </w:r>
          </w:p>
        </w:tc>
        <w:tc>
          <w:tcPr>
            <w:tcW w:w="1134" w:type="dxa"/>
            <w:tcBorders>
              <w:top w:val="nil"/>
              <w:left w:val="nil"/>
              <w:bottom w:val="single" w:sz="4" w:space="0" w:color="auto"/>
              <w:right w:val="single" w:sz="8" w:space="0" w:color="auto"/>
            </w:tcBorders>
            <w:shd w:val="clear" w:color="FFFFFF" w:fill="FFFFFF"/>
            <w:vAlign w:val="center"/>
            <w:hideMark/>
          </w:tcPr>
          <w:p w:rsidR="005D0B92" w:rsidRPr="00965E2C" w:rsidRDefault="005D0B92" w:rsidP="00135E30">
            <w:pPr>
              <w:jc w:val="right"/>
              <w:rPr>
                <w:rFonts w:ascii="Arial" w:hAnsi="Arial" w:cs="Arial"/>
                <w:sz w:val="20"/>
                <w:szCs w:val="20"/>
                <w:lang w:val="es-CR" w:eastAsia="es-CR"/>
              </w:rPr>
            </w:pPr>
            <w:r w:rsidRPr="00965E2C">
              <w:rPr>
                <w:rFonts w:ascii="Arial" w:hAnsi="Arial" w:cs="Arial"/>
                <w:sz w:val="20"/>
                <w:szCs w:val="20"/>
                <w:lang w:val="es-CR" w:eastAsia="es-CR"/>
              </w:rPr>
              <w:t> </w:t>
            </w:r>
          </w:p>
        </w:tc>
      </w:tr>
      <w:tr w:rsidR="008E265E" w:rsidRPr="00965E2C" w:rsidTr="00C26505">
        <w:trPr>
          <w:trHeight w:val="238"/>
        </w:trPr>
        <w:tc>
          <w:tcPr>
            <w:tcW w:w="2992" w:type="dxa"/>
            <w:tcBorders>
              <w:top w:val="nil"/>
              <w:left w:val="single" w:sz="8" w:space="0" w:color="auto"/>
              <w:bottom w:val="single" w:sz="4" w:space="0" w:color="auto"/>
              <w:right w:val="single" w:sz="8" w:space="0" w:color="auto"/>
            </w:tcBorders>
            <w:shd w:val="clear" w:color="FFFFFF" w:fill="FFFFFF"/>
            <w:hideMark/>
          </w:tcPr>
          <w:p w:rsidR="005D0B92" w:rsidRPr="00965E2C" w:rsidRDefault="005D0B92" w:rsidP="00135E30">
            <w:pPr>
              <w:rPr>
                <w:rFonts w:ascii="Arial" w:hAnsi="Arial" w:cs="Arial"/>
                <w:bCs/>
                <w:sz w:val="20"/>
                <w:szCs w:val="20"/>
                <w:lang w:val="es-CR" w:eastAsia="es-CR"/>
              </w:rPr>
            </w:pPr>
            <w:r w:rsidRPr="00965E2C">
              <w:rPr>
                <w:rFonts w:ascii="Arial" w:hAnsi="Arial" w:cs="Arial"/>
                <w:bCs/>
                <w:sz w:val="20"/>
                <w:szCs w:val="20"/>
                <w:lang w:val="es-CR" w:eastAsia="es-CR"/>
              </w:rPr>
              <w:t xml:space="preserve">Indicador Descuento </w:t>
            </w:r>
          </w:p>
        </w:tc>
        <w:tc>
          <w:tcPr>
            <w:tcW w:w="2268" w:type="dxa"/>
            <w:tcBorders>
              <w:top w:val="nil"/>
              <w:left w:val="single" w:sz="8" w:space="0" w:color="auto"/>
              <w:bottom w:val="single" w:sz="4" w:space="0" w:color="auto"/>
              <w:right w:val="single" w:sz="4" w:space="0" w:color="auto"/>
            </w:tcBorders>
            <w:shd w:val="clear" w:color="FFFFFF" w:fill="FFFFFF"/>
            <w:hideMark/>
          </w:tcPr>
          <w:p w:rsidR="005D0B92" w:rsidRPr="00965E2C" w:rsidRDefault="005D0B92" w:rsidP="00135E30">
            <w:pPr>
              <w:jc w:val="right"/>
              <w:rPr>
                <w:rFonts w:ascii="Arial" w:hAnsi="Arial" w:cs="Arial"/>
                <w:sz w:val="20"/>
                <w:szCs w:val="20"/>
                <w:lang w:val="es-CR" w:eastAsia="es-CR"/>
              </w:rPr>
            </w:pPr>
            <w:r w:rsidRPr="00965E2C">
              <w:rPr>
                <w:rFonts w:ascii="Arial" w:hAnsi="Arial" w:cs="Arial"/>
                <w:sz w:val="20"/>
                <w:szCs w:val="20"/>
                <w:lang w:val="es-CR" w:eastAsia="es-CR"/>
              </w:rPr>
              <w:t>11.93%</w:t>
            </w:r>
          </w:p>
        </w:tc>
        <w:tc>
          <w:tcPr>
            <w:tcW w:w="2268" w:type="dxa"/>
            <w:tcBorders>
              <w:top w:val="nil"/>
              <w:left w:val="single" w:sz="8" w:space="0" w:color="auto"/>
              <w:bottom w:val="single" w:sz="4" w:space="0" w:color="auto"/>
              <w:right w:val="single" w:sz="8" w:space="0" w:color="auto"/>
            </w:tcBorders>
            <w:shd w:val="clear" w:color="FFFFFF" w:fill="FFFFFF"/>
            <w:hideMark/>
          </w:tcPr>
          <w:p w:rsidR="005D0B92" w:rsidRPr="00965E2C" w:rsidRDefault="005D0B92" w:rsidP="00135E30">
            <w:pPr>
              <w:jc w:val="right"/>
              <w:rPr>
                <w:rFonts w:ascii="Arial" w:hAnsi="Arial" w:cs="Arial"/>
                <w:sz w:val="20"/>
                <w:szCs w:val="20"/>
                <w:lang w:val="es-CR" w:eastAsia="es-CR"/>
              </w:rPr>
            </w:pPr>
            <w:r w:rsidRPr="00965E2C">
              <w:rPr>
                <w:rFonts w:ascii="Arial" w:hAnsi="Arial" w:cs="Arial"/>
                <w:sz w:val="20"/>
                <w:szCs w:val="20"/>
                <w:lang w:val="es-CR" w:eastAsia="es-CR"/>
              </w:rPr>
              <w:t>12.01%</w:t>
            </w:r>
          </w:p>
        </w:tc>
        <w:tc>
          <w:tcPr>
            <w:tcW w:w="1134" w:type="dxa"/>
            <w:tcBorders>
              <w:top w:val="nil"/>
              <w:left w:val="nil"/>
              <w:bottom w:val="single" w:sz="4" w:space="0" w:color="auto"/>
              <w:right w:val="single" w:sz="8" w:space="0" w:color="auto"/>
            </w:tcBorders>
            <w:shd w:val="clear" w:color="FFFFFF" w:fill="FFFFFF"/>
            <w:vAlign w:val="center"/>
            <w:hideMark/>
          </w:tcPr>
          <w:p w:rsidR="005D0B92" w:rsidRPr="00965E2C" w:rsidRDefault="005D0B92" w:rsidP="00135E30">
            <w:pPr>
              <w:jc w:val="right"/>
              <w:rPr>
                <w:rFonts w:ascii="Arial" w:hAnsi="Arial" w:cs="Arial"/>
                <w:sz w:val="20"/>
                <w:szCs w:val="20"/>
                <w:lang w:val="es-CR" w:eastAsia="es-CR"/>
              </w:rPr>
            </w:pPr>
            <w:r w:rsidRPr="00965E2C">
              <w:rPr>
                <w:rFonts w:ascii="Arial" w:hAnsi="Arial" w:cs="Arial"/>
                <w:sz w:val="20"/>
                <w:szCs w:val="20"/>
                <w:lang w:val="es-CR" w:eastAsia="es-CR"/>
              </w:rPr>
              <w:t> </w:t>
            </w:r>
          </w:p>
        </w:tc>
      </w:tr>
      <w:tr w:rsidR="008E265E" w:rsidRPr="00965E2C" w:rsidTr="00C26505">
        <w:trPr>
          <w:trHeight w:val="238"/>
        </w:trPr>
        <w:tc>
          <w:tcPr>
            <w:tcW w:w="2992" w:type="dxa"/>
            <w:tcBorders>
              <w:top w:val="nil"/>
              <w:left w:val="single" w:sz="8" w:space="0" w:color="auto"/>
              <w:bottom w:val="single" w:sz="4" w:space="0" w:color="auto"/>
              <w:right w:val="single" w:sz="8" w:space="0" w:color="auto"/>
            </w:tcBorders>
            <w:shd w:val="clear" w:color="FFFFFF" w:fill="FFFFFF"/>
            <w:hideMark/>
          </w:tcPr>
          <w:p w:rsidR="005D0B92" w:rsidRPr="00965E2C" w:rsidRDefault="005D0B92" w:rsidP="00135E30">
            <w:pPr>
              <w:rPr>
                <w:rFonts w:ascii="Arial" w:hAnsi="Arial" w:cs="Arial"/>
                <w:bCs/>
                <w:sz w:val="20"/>
                <w:szCs w:val="20"/>
                <w:lang w:val="es-CR" w:eastAsia="es-CR"/>
              </w:rPr>
            </w:pPr>
            <w:r w:rsidRPr="00965E2C">
              <w:rPr>
                <w:rFonts w:ascii="Arial" w:hAnsi="Arial" w:cs="Arial"/>
                <w:bCs/>
                <w:sz w:val="20"/>
                <w:szCs w:val="20"/>
                <w:lang w:val="es-CR" w:eastAsia="es-CR"/>
              </w:rPr>
              <w:t>Indicador Pago Premios</w:t>
            </w:r>
          </w:p>
        </w:tc>
        <w:tc>
          <w:tcPr>
            <w:tcW w:w="2268" w:type="dxa"/>
            <w:tcBorders>
              <w:top w:val="nil"/>
              <w:left w:val="single" w:sz="8" w:space="0" w:color="auto"/>
              <w:bottom w:val="single" w:sz="4" w:space="0" w:color="auto"/>
              <w:right w:val="single" w:sz="4" w:space="0" w:color="auto"/>
            </w:tcBorders>
            <w:shd w:val="clear" w:color="FFFFFF" w:fill="FFFFFF"/>
            <w:hideMark/>
          </w:tcPr>
          <w:p w:rsidR="005D0B92" w:rsidRPr="00965E2C" w:rsidRDefault="005D0B92" w:rsidP="00135E30">
            <w:pPr>
              <w:jc w:val="right"/>
              <w:rPr>
                <w:rFonts w:ascii="Arial" w:hAnsi="Arial" w:cs="Arial"/>
                <w:sz w:val="20"/>
                <w:szCs w:val="20"/>
                <w:lang w:val="es-CR" w:eastAsia="es-CR"/>
              </w:rPr>
            </w:pPr>
            <w:r w:rsidRPr="00965E2C">
              <w:rPr>
                <w:rFonts w:ascii="Arial" w:hAnsi="Arial" w:cs="Arial"/>
                <w:sz w:val="20"/>
                <w:szCs w:val="20"/>
                <w:lang w:val="es-CR" w:eastAsia="es-CR"/>
              </w:rPr>
              <w:t>62.13%</w:t>
            </w:r>
          </w:p>
        </w:tc>
        <w:tc>
          <w:tcPr>
            <w:tcW w:w="2268" w:type="dxa"/>
            <w:tcBorders>
              <w:top w:val="nil"/>
              <w:left w:val="single" w:sz="8" w:space="0" w:color="auto"/>
              <w:bottom w:val="single" w:sz="4" w:space="0" w:color="auto"/>
              <w:right w:val="single" w:sz="8" w:space="0" w:color="auto"/>
            </w:tcBorders>
            <w:shd w:val="clear" w:color="FFFFFF" w:fill="FFFFFF"/>
            <w:hideMark/>
          </w:tcPr>
          <w:p w:rsidR="005D0B92" w:rsidRPr="00965E2C" w:rsidRDefault="005D0B92" w:rsidP="00135E30">
            <w:pPr>
              <w:jc w:val="right"/>
              <w:rPr>
                <w:rFonts w:ascii="Arial" w:hAnsi="Arial" w:cs="Arial"/>
                <w:sz w:val="20"/>
                <w:szCs w:val="20"/>
                <w:lang w:val="es-CR" w:eastAsia="es-CR"/>
              </w:rPr>
            </w:pPr>
            <w:r w:rsidRPr="00965E2C">
              <w:rPr>
                <w:rFonts w:ascii="Arial" w:hAnsi="Arial" w:cs="Arial"/>
                <w:sz w:val="20"/>
                <w:szCs w:val="20"/>
                <w:lang w:val="es-CR" w:eastAsia="es-CR"/>
              </w:rPr>
              <w:t>59.95%</w:t>
            </w:r>
          </w:p>
        </w:tc>
        <w:tc>
          <w:tcPr>
            <w:tcW w:w="1134" w:type="dxa"/>
            <w:tcBorders>
              <w:top w:val="nil"/>
              <w:left w:val="nil"/>
              <w:bottom w:val="single" w:sz="4" w:space="0" w:color="auto"/>
              <w:right w:val="single" w:sz="8" w:space="0" w:color="auto"/>
            </w:tcBorders>
            <w:shd w:val="clear" w:color="FFFFFF" w:fill="FFFFFF"/>
            <w:vAlign w:val="center"/>
            <w:hideMark/>
          </w:tcPr>
          <w:p w:rsidR="005D0B92" w:rsidRPr="00965E2C" w:rsidRDefault="005D0B92" w:rsidP="00135E30">
            <w:pPr>
              <w:jc w:val="right"/>
              <w:rPr>
                <w:rFonts w:ascii="Arial" w:hAnsi="Arial" w:cs="Arial"/>
                <w:sz w:val="20"/>
                <w:szCs w:val="20"/>
                <w:lang w:val="es-CR" w:eastAsia="es-CR"/>
              </w:rPr>
            </w:pPr>
            <w:r w:rsidRPr="00965E2C">
              <w:rPr>
                <w:rFonts w:ascii="Arial" w:hAnsi="Arial" w:cs="Arial"/>
                <w:sz w:val="20"/>
                <w:szCs w:val="20"/>
                <w:lang w:val="es-CR" w:eastAsia="es-CR"/>
              </w:rPr>
              <w:t> </w:t>
            </w:r>
          </w:p>
        </w:tc>
      </w:tr>
      <w:tr w:rsidR="008E265E" w:rsidRPr="00965E2C" w:rsidTr="00C26505">
        <w:trPr>
          <w:trHeight w:val="238"/>
        </w:trPr>
        <w:tc>
          <w:tcPr>
            <w:tcW w:w="2992" w:type="dxa"/>
            <w:tcBorders>
              <w:top w:val="nil"/>
              <w:left w:val="single" w:sz="8" w:space="0" w:color="auto"/>
              <w:bottom w:val="single" w:sz="4" w:space="0" w:color="auto"/>
              <w:right w:val="single" w:sz="8" w:space="0" w:color="auto"/>
            </w:tcBorders>
            <w:shd w:val="clear" w:color="FFFFFF" w:fill="FFFFFF"/>
            <w:hideMark/>
          </w:tcPr>
          <w:p w:rsidR="005D0B92" w:rsidRPr="00965E2C" w:rsidRDefault="005D0B92" w:rsidP="00135E30">
            <w:pPr>
              <w:rPr>
                <w:rFonts w:ascii="Arial" w:hAnsi="Arial" w:cs="Arial"/>
                <w:bCs/>
                <w:sz w:val="20"/>
                <w:szCs w:val="20"/>
                <w:lang w:val="es-CR" w:eastAsia="es-CR"/>
              </w:rPr>
            </w:pPr>
            <w:r w:rsidRPr="00965E2C">
              <w:rPr>
                <w:rFonts w:ascii="Arial" w:hAnsi="Arial" w:cs="Arial"/>
                <w:bCs/>
                <w:sz w:val="20"/>
                <w:szCs w:val="20"/>
                <w:lang w:val="es-CR" w:eastAsia="es-CR"/>
              </w:rPr>
              <w:t>Indicador Costos y Gastos</w:t>
            </w:r>
          </w:p>
        </w:tc>
        <w:tc>
          <w:tcPr>
            <w:tcW w:w="2268" w:type="dxa"/>
            <w:tcBorders>
              <w:top w:val="nil"/>
              <w:left w:val="single" w:sz="8" w:space="0" w:color="auto"/>
              <w:bottom w:val="single" w:sz="4" w:space="0" w:color="auto"/>
              <w:right w:val="single" w:sz="4" w:space="0" w:color="auto"/>
            </w:tcBorders>
            <w:shd w:val="clear" w:color="FFFFFF" w:fill="FFFFFF"/>
            <w:hideMark/>
          </w:tcPr>
          <w:p w:rsidR="005D0B92" w:rsidRPr="00965E2C" w:rsidRDefault="005D0B92" w:rsidP="00135E30">
            <w:pPr>
              <w:jc w:val="right"/>
              <w:rPr>
                <w:rFonts w:ascii="Arial" w:hAnsi="Arial" w:cs="Arial"/>
                <w:sz w:val="20"/>
                <w:szCs w:val="20"/>
                <w:lang w:val="es-CR" w:eastAsia="es-CR"/>
              </w:rPr>
            </w:pPr>
            <w:r w:rsidRPr="00965E2C">
              <w:rPr>
                <w:rFonts w:ascii="Arial" w:hAnsi="Arial" w:cs="Arial"/>
                <w:sz w:val="20"/>
                <w:szCs w:val="20"/>
                <w:lang w:val="es-CR" w:eastAsia="es-CR"/>
              </w:rPr>
              <w:t>7.66%</w:t>
            </w:r>
          </w:p>
        </w:tc>
        <w:tc>
          <w:tcPr>
            <w:tcW w:w="2268" w:type="dxa"/>
            <w:tcBorders>
              <w:top w:val="nil"/>
              <w:left w:val="single" w:sz="8" w:space="0" w:color="auto"/>
              <w:bottom w:val="single" w:sz="4" w:space="0" w:color="auto"/>
              <w:right w:val="single" w:sz="8" w:space="0" w:color="auto"/>
            </w:tcBorders>
            <w:shd w:val="clear" w:color="FFFFFF" w:fill="FFFFFF"/>
            <w:hideMark/>
          </w:tcPr>
          <w:p w:rsidR="005D0B92" w:rsidRPr="00965E2C" w:rsidRDefault="005D0B92" w:rsidP="00135E30">
            <w:pPr>
              <w:jc w:val="right"/>
              <w:rPr>
                <w:rFonts w:ascii="Arial" w:hAnsi="Arial" w:cs="Arial"/>
                <w:sz w:val="20"/>
                <w:szCs w:val="20"/>
                <w:lang w:val="es-CR" w:eastAsia="es-CR"/>
              </w:rPr>
            </w:pPr>
            <w:r w:rsidRPr="00965E2C">
              <w:rPr>
                <w:rFonts w:ascii="Arial" w:hAnsi="Arial" w:cs="Arial"/>
                <w:sz w:val="20"/>
                <w:szCs w:val="20"/>
                <w:lang w:val="es-CR" w:eastAsia="es-CR"/>
              </w:rPr>
              <w:t>8.45%</w:t>
            </w:r>
          </w:p>
        </w:tc>
        <w:tc>
          <w:tcPr>
            <w:tcW w:w="1134" w:type="dxa"/>
            <w:tcBorders>
              <w:top w:val="nil"/>
              <w:left w:val="nil"/>
              <w:bottom w:val="single" w:sz="4" w:space="0" w:color="auto"/>
              <w:right w:val="single" w:sz="8" w:space="0" w:color="auto"/>
            </w:tcBorders>
            <w:shd w:val="clear" w:color="FFFFFF" w:fill="FFFFFF"/>
            <w:vAlign w:val="center"/>
            <w:hideMark/>
          </w:tcPr>
          <w:p w:rsidR="005D0B92" w:rsidRPr="00965E2C" w:rsidRDefault="005D0B92" w:rsidP="00135E30">
            <w:pPr>
              <w:jc w:val="right"/>
              <w:rPr>
                <w:rFonts w:ascii="Arial" w:hAnsi="Arial" w:cs="Arial"/>
                <w:sz w:val="20"/>
                <w:szCs w:val="20"/>
                <w:lang w:val="es-CR" w:eastAsia="es-CR"/>
              </w:rPr>
            </w:pPr>
            <w:r w:rsidRPr="00965E2C">
              <w:rPr>
                <w:rFonts w:ascii="Arial" w:hAnsi="Arial" w:cs="Arial"/>
                <w:sz w:val="20"/>
                <w:szCs w:val="20"/>
                <w:lang w:val="es-CR" w:eastAsia="es-CR"/>
              </w:rPr>
              <w:t> </w:t>
            </w:r>
          </w:p>
        </w:tc>
      </w:tr>
      <w:tr w:rsidR="008E265E" w:rsidRPr="00965E2C" w:rsidTr="00C26505">
        <w:trPr>
          <w:trHeight w:val="238"/>
        </w:trPr>
        <w:tc>
          <w:tcPr>
            <w:tcW w:w="2992" w:type="dxa"/>
            <w:tcBorders>
              <w:top w:val="nil"/>
              <w:left w:val="single" w:sz="8" w:space="0" w:color="auto"/>
              <w:bottom w:val="nil"/>
              <w:right w:val="single" w:sz="8" w:space="0" w:color="auto"/>
            </w:tcBorders>
            <w:shd w:val="clear" w:color="FFFFFF" w:fill="FFFFFF"/>
            <w:hideMark/>
          </w:tcPr>
          <w:p w:rsidR="005D0B92" w:rsidRPr="00965E2C" w:rsidRDefault="005D0B92" w:rsidP="00135E30">
            <w:pPr>
              <w:rPr>
                <w:rFonts w:ascii="Arial" w:hAnsi="Arial" w:cs="Arial"/>
                <w:bCs/>
                <w:sz w:val="20"/>
                <w:szCs w:val="20"/>
                <w:lang w:val="es-CR" w:eastAsia="es-CR"/>
              </w:rPr>
            </w:pPr>
            <w:r w:rsidRPr="00965E2C">
              <w:rPr>
                <w:rFonts w:ascii="Arial" w:hAnsi="Arial" w:cs="Arial"/>
                <w:bCs/>
                <w:sz w:val="20"/>
                <w:szCs w:val="20"/>
                <w:lang w:val="es-CR" w:eastAsia="es-CR"/>
              </w:rPr>
              <w:t>Indicador Aporte Fondo</w:t>
            </w:r>
          </w:p>
        </w:tc>
        <w:tc>
          <w:tcPr>
            <w:tcW w:w="2268" w:type="dxa"/>
            <w:tcBorders>
              <w:top w:val="nil"/>
              <w:left w:val="single" w:sz="8" w:space="0" w:color="auto"/>
              <w:bottom w:val="nil"/>
              <w:right w:val="single" w:sz="4" w:space="0" w:color="auto"/>
            </w:tcBorders>
            <w:shd w:val="clear" w:color="FFFFFF" w:fill="FFFFFF"/>
            <w:hideMark/>
          </w:tcPr>
          <w:p w:rsidR="005D0B92" w:rsidRPr="00965E2C" w:rsidRDefault="005D0B92" w:rsidP="00135E30">
            <w:pPr>
              <w:jc w:val="right"/>
              <w:rPr>
                <w:rFonts w:ascii="Arial" w:hAnsi="Arial" w:cs="Arial"/>
                <w:sz w:val="20"/>
                <w:szCs w:val="20"/>
                <w:lang w:val="es-CR" w:eastAsia="es-CR"/>
              </w:rPr>
            </w:pPr>
            <w:r w:rsidRPr="00965E2C">
              <w:rPr>
                <w:rFonts w:ascii="Arial" w:hAnsi="Arial" w:cs="Arial"/>
                <w:sz w:val="20"/>
                <w:szCs w:val="20"/>
                <w:lang w:val="es-CR" w:eastAsia="es-CR"/>
              </w:rPr>
              <w:t>0.99%</w:t>
            </w:r>
          </w:p>
        </w:tc>
        <w:tc>
          <w:tcPr>
            <w:tcW w:w="2268" w:type="dxa"/>
            <w:tcBorders>
              <w:top w:val="nil"/>
              <w:left w:val="single" w:sz="8" w:space="0" w:color="auto"/>
              <w:bottom w:val="nil"/>
              <w:right w:val="single" w:sz="8" w:space="0" w:color="auto"/>
            </w:tcBorders>
            <w:shd w:val="clear" w:color="FFFFFF" w:fill="FFFFFF"/>
            <w:hideMark/>
          </w:tcPr>
          <w:p w:rsidR="005D0B92" w:rsidRPr="00965E2C" w:rsidRDefault="005D0B92" w:rsidP="00135E30">
            <w:pPr>
              <w:jc w:val="right"/>
              <w:rPr>
                <w:rFonts w:ascii="Arial" w:hAnsi="Arial" w:cs="Arial"/>
                <w:sz w:val="20"/>
                <w:szCs w:val="20"/>
                <w:lang w:val="es-CR" w:eastAsia="es-CR"/>
              </w:rPr>
            </w:pPr>
            <w:r w:rsidRPr="00965E2C">
              <w:rPr>
                <w:rFonts w:ascii="Arial" w:hAnsi="Arial" w:cs="Arial"/>
                <w:sz w:val="20"/>
                <w:szCs w:val="20"/>
                <w:lang w:val="es-CR" w:eastAsia="es-CR"/>
              </w:rPr>
              <w:t>0.91%</w:t>
            </w:r>
          </w:p>
        </w:tc>
        <w:tc>
          <w:tcPr>
            <w:tcW w:w="1134" w:type="dxa"/>
            <w:tcBorders>
              <w:top w:val="nil"/>
              <w:left w:val="nil"/>
              <w:bottom w:val="nil"/>
              <w:right w:val="single" w:sz="8" w:space="0" w:color="auto"/>
            </w:tcBorders>
            <w:shd w:val="clear" w:color="FFFFFF" w:fill="FFFFFF"/>
            <w:vAlign w:val="center"/>
            <w:hideMark/>
          </w:tcPr>
          <w:p w:rsidR="005D0B92" w:rsidRPr="00965E2C" w:rsidRDefault="005D0B92" w:rsidP="00135E30">
            <w:pPr>
              <w:jc w:val="right"/>
              <w:rPr>
                <w:rFonts w:ascii="Arial" w:hAnsi="Arial" w:cs="Arial"/>
                <w:sz w:val="20"/>
                <w:szCs w:val="20"/>
                <w:lang w:val="es-CR" w:eastAsia="es-CR"/>
              </w:rPr>
            </w:pPr>
            <w:r w:rsidRPr="00965E2C">
              <w:rPr>
                <w:rFonts w:ascii="Arial" w:hAnsi="Arial" w:cs="Arial"/>
                <w:sz w:val="20"/>
                <w:szCs w:val="20"/>
                <w:lang w:val="es-CR" w:eastAsia="es-CR"/>
              </w:rPr>
              <w:t> </w:t>
            </w:r>
          </w:p>
        </w:tc>
      </w:tr>
      <w:tr w:rsidR="008E265E" w:rsidRPr="00965E2C" w:rsidTr="00C26505">
        <w:trPr>
          <w:trHeight w:val="238"/>
        </w:trPr>
        <w:tc>
          <w:tcPr>
            <w:tcW w:w="2992" w:type="dxa"/>
            <w:tcBorders>
              <w:top w:val="single" w:sz="4" w:space="0" w:color="auto"/>
              <w:left w:val="single" w:sz="8" w:space="0" w:color="auto"/>
              <w:bottom w:val="single" w:sz="4" w:space="0" w:color="auto"/>
              <w:right w:val="single" w:sz="8" w:space="0" w:color="auto"/>
            </w:tcBorders>
            <w:shd w:val="clear" w:color="FFFFFF" w:fill="FFFFFF"/>
            <w:hideMark/>
          </w:tcPr>
          <w:p w:rsidR="005D0B92" w:rsidRPr="00965E2C" w:rsidRDefault="005D0B92" w:rsidP="00135E30">
            <w:pPr>
              <w:rPr>
                <w:rFonts w:ascii="Arial" w:hAnsi="Arial" w:cs="Arial"/>
                <w:bCs/>
                <w:sz w:val="20"/>
                <w:szCs w:val="20"/>
                <w:lang w:val="es-CR" w:eastAsia="es-CR"/>
              </w:rPr>
            </w:pPr>
            <w:r w:rsidRPr="00965E2C">
              <w:rPr>
                <w:rFonts w:ascii="Arial" w:hAnsi="Arial" w:cs="Arial"/>
                <w:bCs/>
                <w:sz w:val="20"/>
                <w:szCs w:val="20"/>
                <w:lang w:val="es-CR" w:eastAsia="es-CR"/>
              </w:rPr>
              <w:t>Indicador Impuesto</w:t>
            </w:r>
          </w:p>
        </w:tc>
        <w:tc>
          <w:tcPr>
            <w:tcW w:w="2268" w:type="dxa"/>
            <w:tcBorders>
              <w:top w:val="single" w:sz="4" w:space="0" w:color="auto"/>
              <w:left w:val="nil"/>
              <w:bottom w:val="single" w:sz="4" w:space="0" w:color="auto"/>
              <w:right w:val="single" w:sz="4" w:space="0" w:color="auto"/>
            </w:tcBorders>
            <w:shd w:val="clear" w:color="FFFFFF" w:fill="FFFFFF"/>
            <w:hideMark/>
          </w:tcPr>
          <w:p w:rsidR="005D0B92" w:rsidRPr="00965E2C" w:rsidRDefault="005D0B92" w:rsidP="00135E30">
            <w:pPr>
              <w:jc w:val="right"/>
              <w:rPr>
                <w:rFonts w:ascii="Arial" w:hAnsi="Arial" w:cs="Arial"/>
                <w:sz w:val="20"/>
                <w:szCs w:val="20"/>
                <w:lang w:val="es-CR" w:eastAsia="es-CR"/>
              </w:rPr>
            </w:pPr>
            <w:r w:rsidRPr="00965E2C">
              <w:rPr>
                <w:rFonts w:ascii="Arial" w:hAnsi="Arial" w:cs="Arial"/>
                <w:sz w:val="20"/>
                <w:szCs w:val="20"/>
                <w:lang w:val="es-CR" w:eastAsia="es-CR"/>
              </w:rPr>
              <w:t>1.73%</w:t>
            </w:r>
          </w:p>
        </w:tc>
        <w:tc>
          <w:tcPr>
            <w:tcW w:w="2268" w:type="dxa"/>
            <w:tcBorders>
              <w:top w:val="single" w:sz="4" w:space="0" w:color="auto"/>
              <w:left w:val="single" w:sz="8" w:space="0" w:color="auto"/>
              <w:bottom w:val="single" w:sz="4" w:space="0" w:color="auto"/>
              <w:right w:val="single" w:sz="8" w:space="0" w:color="auto"/>
            </w:tcBorders>
            <w:shd w:val="clear" w:color="FFFFFF" w:fill="FFFFFF"/>
            <w:hideMark/>
          </w:tcPr>
          <w:p w:rsidR="005D0B92" w:rsidRPr="00965E2C" w:rsidRDefault="005D0B92" w:rsidP="00135E30">
            <w:pPr>
              <w:jc w:val="right"/>
              <w:rPr>
                <w:rFonts w:ascii="Arial" w:hAnsi="Arial" w:cs="Arial"/>
                <w:sz w:val="20"/>
                <w:szCs w:val="20"/>
                <w:lang w:val="es-CR" w:eastAsia="es-CR"/>
              </w:rPr>
            </w:pPr>
            <w:r w:rsidRPr="00965E2C">
              <w:rPr>
                <w:rFonts w:ascii="Arial" w:hAnsi="Arial" w:cs="Arial"/>
                <w:sz w:val="20"/>
                <w:szCs w:val="20"/>
                <w:lang w:val="es-CR" w:eastAsia="es-CR"/>
              </w:rPr>
              <w:t>1.90%</w:t>
            </w:r>
          </w:p>
        </w:tc>
        <w:tc>
          <w:tcPr>
            <w:tcW w:w="1134" w:type="dxa"/>
            <w:tcBorders>
              <w:top w:val="single" w:sz="4" w:space="0" w:color="auto"/>
              <w:left w:val="nil"/>
              <w:bottom w:val="single" w:sz="4" w:space="0" w:color="auto"/>
              <w:right w:val="single" w:sz="8" w:space="0" w:color="auto"/>
            </w:tcBorders>
            <w:shd w:val="clear" w:color="FFFFFF" w:fill="FFFFFF"/>
            <w:vAlign w:val="center"/>
            <w:hideMark/>
          </w:tcPr>
          <w:p w:rsidR="005D0B92" w:rsidRPr="00965E2C" w:rsidRDefault="005D0B92" w:rsidP="00135E30">
            <w:pPr>
              <w:jc w:val="right"/>
              <w:rPr>
                <w:rFonts w:ascii="Arial" w:hAnsi="Arial" w:cs="Arial"/>
                <w:sz w:val="20"/>
                <w:szCs w:val="20"/>
                <w:lang w:val="es-CR" w:eastAsia="es-CR"/>
              </w:rPr>
            </w:pPr>
            <w:r w:rsidRPr="00965E2C">
              <w:rPr>
                <w:rFonts w:ascii="Arial" w:hAnsi="Arial" w:cs="Arial"/>
                <w:sz w:val="20"/>
                <w:szCs w:val="20"/>
                <w:lang w:val="es-CR" w:eastAsia="es-CR"/>
              </w:rPr>
              <w:t> </w:t>
            </w:r>
          </w:p>
        </w:tc>
      </w:tr>
      <w:tr w:rsidR="008E265E" w:rsidRPr="00965E2C" w:rsidTr="00C26505">
        <w:trPr>
          <w:trHeight w:val="238"/>
        </w:trPr>
        <w:tc>
          <w:tcPr>
            <w:tcW w:w="2992" w:type="dxa"/>
            <w:tcBorders>
              <w:top w:val="nil"/>
              <w:left w:val="single" w:sz="8" w:space="0" w:color="auto"/>
              <w:bottom w:val="single" w:sz="8" w:space="0" w:color="auto"/>
              <w:right w:val="single" w:sz="8" w:space="0" w:color="auto"/>
            </w:tcBorders>
            <w:shd w:val="clear" w:color="FFFFFF" w:fill="FFFFFF"/>
            <w:hideMark/>
          </w:tcPr>
          <w:p w:rsidR="005D0B92" w:rsidRPr="00965E2C" w:rsidRDefault="005D0B92" w:rsidP="00135E30">
            <w:pPr>
              <w:rPr>
                <w:rFonts w:ascii="Arial" w:hAnsi="Arial" w:cs="Arial"/>
                <w:bCs/>
                <w:sz w:val="20"/>
                <w:szCs w:val="20"/>
                <w:lang w:val="es-CR" w:eastAsia="es-CR"/>
              </w:rPr>
            </w:pPr>
            <w:r w:rsidRPr="00965E2C">
              <w:rPr>
                <w:rFonts w:ascii="Arial" w:hAnsi="Arial" w:cs="Arial"/>
                <w:bCs/>
                <w:sz w:val="20"/>
                <w:szCs w:val="20"/>
                <w:lang w:val="es-CR" w:eastAsia="es-CR"/>
              </w:rPr>
              <w:t>Indicador UNDI</w:t>
            </w:r>
          </w:p>
        </w:tc>
        <w:tc>
          <w:tcPr>
            <w:tcW w:w="2268" w:type="dxa"/>
            <w:tcBorders>
              <w:top w:val="nil"/>
              <w:left w:val="nil"/>
              <w:bottom w:val="single" w:sz="8" w:space="0" w:color="auto"/>
              <w:right w:val="single" w:sz="4" w:space="0" w:color="auto"/>
            </w:tcBorders>
            <w:shd w:val="clear" w:color="FFFFFF" w:fill="FFFFFF"/>
            <w:hideMark/>
          </w:tcPr>
          <w:p w:rsidR="005D0B92" w:rsidRPr="00965E2C" w:rsidRDefault="005D0B92" w:rsidP="00135E30">
            <w:pPr>
              <w:jc w:val="right"/>
              <w:rPr>
                <w:rFonts w:ascii="Arial" w:hAnsi="Arial" w:cs="Arial"/>
                <w:sz w:val="20"/>
                <w:szCs w:val="20"/>
                <w:lang w:val="es-CR" w:eastAsia="es-CR"/>
              </w:rPr>
            </w:pPr>
            <w:r w:rsidRPr="00965E2C">
              <w:rPr>
                <w:rFonts w:ascii="Arial" w:hAnsi="Arial" w:cs="Arial"/>
                <w:sz w:val="20"/>
                <w:szCs w:val="20"/>
                <w:lang w:val="es-CR" w:eastAsia="es-CR"/>
              </w:rPr>
              <w:t>15.56%</w:t>
            </w:r>
            <w:r w:rsidR="008D442D">
              <w:rPr>
                <w:rFonts w:ascii="Arial" w:hAnsi="Arial" w:cs="Arial"/>
                <w:sz w:val="20"/>
                <w:szCs w:val="20"/>
                <w:lang w:val="es-CR" w:eastAsia="es-CR"/>
              </w:rPr>
              <w:t xml:space="preserve"> (*)</w:t>
            </w:r>
          </w:p>
        </w:tc>
        <w:tc>
          <w:tcPr>
            <w:tcW w:w="2268" w:type="dxa"/>
            <w:tcBorders>
              <w:top w:val="nil"/>
              <w:left w:val="single" w:sz="8" w:space="0" w:color="auto"/>
              <w:bottom w:val="single" w:sz="8" w:space="0" w:color="auto"/>
              <w:right w:val="single" w:sz="8" w:space="0" w:color="auto"/>
            </w:tcBorders>
            <w:shd w:val="clear" w:color="FFFFFF" w:fill="FFFFFF"/>
            <w:hideMark/>
          </w:tcPr>
          <w:p w:rsidR="005D0B92" w:rsidRPr="00965E2C" w:rsidRDefault="005D0B92" w:rsidP="00135E30">
            <w:pPr>
              <w:jc w:val="right"/>
              <w:rPr>
                <w:rFonts w:ascii="Arial" w:hAnsi="Arial" w:cs="Arial"/>
                <w:sz w:val="20"/>
                <w:szCs w:val="20"/>
                <w:lang w:val="es-CR" w:eastAsia="es-CR"/>
              </w:rPr>
            </w:pPr>
            <w:r w:rsidRPr="00965E2C">
              <w:rPr>
                <w:rFonts w:ascii="Arial" w:hAnsi="Arial" w:cs="Arial"/>
                <w:sz w:val="20"/>
                <w:szCs w:val="20"/>
                <w:lang w:val="es-CR" w:eastAsia="es-CR"/>
              </w:rPr>
              <w:t>17.25%</w:t>
            </w:r>
          </w:p>
        </w:tc>
        <w:tc>
          <w:tcPr>
            <w:tcW w:w="1134" w:type="dxa"/>
            <w:tcBorders>
              <w:top w:val="nil"/>
              <w:left w:val="nil"/>
              <w:bottom w:val="single" w:sz="8" w:space="0" w:color="auto"/>
              <w:right w:val="single" w:sz="8" w:space="0" w:color="auto"/>
            </w:tcBorders>
            <w:shd w:val="clear" w:color="FFFFFF" w:fill="FFFFFF"/>
            <w:vAlign w:val="center"/>
            <w:hideMark/>
          </w:tcPr>
          <w:p w:rsidR="005D0B92" w:rsidRPr="00965E2C" w:rsidRDefault="005D0B92" w:rsidP="00135E30">
            <w:pPr>
              <w:jc w:val="right"/>
              <w:rPr>
                <w:rFonts w:ascii="Arial" w:hAnsi="Arial" w:cs="Arial"/>
                <w:sz w:val="20"/>
                <w:szCs w:val="20"/>
                <w:lang w:val="es-CR" w:eastAsia="es-CR"/>
              </w:rPr>
            </w:pPr>
            <w:r w:rsidRPr="00965E2C">
              <w:rPr>
                <w:rFonts w:ascii="Arial" w:hAnsi="Arial" w:cs="Arial"/>
                <w:sz w:val="20"/>
                <w:szCs w:val="20"/>
                <w:lang w:val="es-CR" w:eastAsia="es-CR"/>
              </w:rPr>
              <w:t> </w:t>
            </w:r>
          </w:p>
        </w:tc>
      </w:tr>
      <w:tr w:rsidR="005B2C2F" w:rsidRPr="00C26505" w:rsidTr="00770A09">
        <w:trPr>
          <w:trHeight w:val="255"/>
        </w:trPr>
        <w:tc>
          <w:tcPr>
            <w:tcW w:w="7528" w:type="dxa"/>
            <w:gridSpan w:val="3"/>
            <w:vMerge w:val="restart"/>
            <w:tcBorders>
              <w:top w:val="single" w:sz="8" w:space="0" w:color="auto"/>
              <w:left w:val="nil"/>
              <w:bottom w:val="nil"/>
              <w:right w:val="nil"/>
            </w:tcBorders>
            <w:shd w:val="clear" w:color="000000" w:fill="FFFFFF"/>
            <w:vAlign w:val="center"/>
            <w:hideMark/>
          </w:tcPr>
          <w:p w:rsidR="004B0C7F" w:rsidRPr="00C26505" w:rsidRDefault="000903BF" w:rsidP="00C26505">
            <w:pPr>
              <w:jc w:val="both"/>
              <w:rPr>
                <w:rFonts w:ascii="Arial" w:hAnsi="Arial" w:cs="Arial"/>
                <w:b/>
                <w:sz w:val="14"/>
                <w:szCs w:val="14"/>
                <w:lang w:val="es-CR" w:eastAsia="es-CR"/>
              </w:rPr>
            </w:pPr>
            <w:r w:rsidRPr="00C26505">
              <w:rPr>
                <w:rFonts w:ascii="Arial" w:hAnsi="Arial" w:cs="Arial"/>
                <w:b/>
                <w:sz w:val="14"/>
                <w:szCs w:val="14"/>
                <w:lang w:val="es-CR" w:eastAsia="es-CR"/>
              </w:rPr>
              <w:t>FI.:</w:t>
            </w:r>
            <w:r w:rsidR="008E265E" w:rsidRPr="00C26505">
              <w:rPr>
                <w:rFonts w:ascii="Arial" w:hAnsi="Arial" w:cs="Arial"/>
                <w:b/>
                <w:sz w:val="14"/>
                <w:szCs w:val="14"/>
                <w:lang w:val="es-CR" w:eastAsia="es-CR"/>
              </w:rPr>
              <w:t xml:space="preserve"> GPC 024 del 15 de enero de 2014,</w:t>
            </w:r>
            <w:r w:rsidRPr="00C26505">
              <w:rPr>
                <w:rFonts w:ascii="Arial" w:hAnsi="Arial" w:cs="Arial"/>
                <w:b/>
                <w:sz w:val="14"/>
                <w:szCs w:val="14"/>
                <w:lang w:val="es-CR" w:eastAsia="es-CR"/>
              </w:rPr>
              <w:t xml:space="preserve">  </w:t>
            </w:r>
            <w:r w:rsidR="005D0B92" w:rsidRPr="00C26505">
              <w:rPr>
                <w:rFonts w:ascii="Arial" w:hAnsi="Arial" w:cs="Arial"/>
                <w:b/>
                <w:sz w:val="14"/>
                <w:szCs w:val="14"/>
                <w:lang w:val="es-CR" w:eastAsia="es-CR"/>
              </w:rPr>
              <w:t>Consola de Aplicaciones Corporativa, Módulo de Liquidaciones&gt; Reportes de Contabilidad&gt; Distribución Renta Todas las Loterías. Elaborado al 9/01/2014</w:t>
            </w:r>
            <w:r w:rsidR="008D7D6E" w:rsidRPr="00C26505">
              <w:rPr>
                <w:rFonts w:ascii="Arial" w:hAnsi="Arial" w:cs="Arial"/>
                <w:b/>
                <w:sz w:val="14"/>
                <w:szCs w:val="14"/>
                <w:lang w:val="es-CR" w:eastAsia="es-CR"/>
              </w:rPr>
              <w:t>.</w:t>
            </w:r>
          </w:p>
          <w:p w:rsidR="00C26505" w:rsidRPr="00C26505" w:rsidRDefault="00C26505" w:rsidP="00C26505">
            <w:pPr>
              <w:jc w:val="both"/>
              <w:rPr>
                <w:rFonts w:ascii="Arial" w:hAnsi="Arial" w:cs="Arial"/>
                <w:b/>
                <w:sz w:val="14"/>
                <w:szCs w:val="14"/>
                <w:lang w:val="es-CR" w:eastAsia="es-CR"/>
              </w:rPr>
            </w:pPr>
          </w:p>
        </w:tc>
        <w:tc>
          <w:tcPr>
            <w:tcW w:w="1134" w:type="dxa"/>
            <w:tcBorders>
              <w:top w:val="nil"/>
              <w:left w:val="nil"/>
              <w:bottom w:val="nil"/>
              <w:right w:val="nil"/>
            </w:tcBorders>
            <w:shd w:val="clear" w:color="000000" w:fill="FFFFFF"/>
            <w:vAlign w:val="center"/>
            <w:hideMark/>
          </w:tcPr>
          <w:p w:rsidR="005D0B92" w:rsidRPr="00C26505" w:rsidRDefault="005D0B92" w:rsidP="00C26505">
            <w:pPr>
              <w:jc w:val="both"/>
              <w:rPr>
                <w:rFonts w:ascii="Arial" w:hAnsi="Arial" w:cs="Arial"/>
                <w:b/>
                <w:color w:val="FF0000"/>
                <w:sz w:val="14"/>
                <w:szCs w:val="14"/>
                <w:lang w:val="es-CR" w:eastAsia="es-CR"/>
              </w:rPr>
            </w:pPr>
            <w:r w:rsidRPr="00C26505">
              <w:rPr>
                <w:rFonts w:ascii="Arial" w:hAnsi="Arial" w:cs="Arial"/>
                <w:b/>
                <w:color w:val="FF0000"/>
                <w:sz w:val="14"/>
                <w:szCs w:val="14"/>
                <w:lang w:val="es-CR" w:eastAsia="es-CR"/>
              </w:rPr>
              <w:t> </w:t>
            </w:r>
          </w:p>
        </w:tc>
      </w:tr>
      <w:tr w:rsidR="005B2C2F" w:rsidRPr="009B12FF" w:rsidTr="00770A09">
        <w:trPr>
          <w:trHeight w:val="300"/>
        </w:trPr>
        <w:tc>
          <w:tcPr>
            <w:tcW w:w="7528" w:type="dxa"/>
            <w:gridSpan w:val="3"/>
            <w:vMerge/>
            <w:tcBorders>
              <w:top w:val="single" w:sz="8" w:space="0" w:color="auto"/>
              <w:left w:val="nil"/>
              <w:bottom w:val="nil"/>
              <w:right w:val="nil"/>
            </w:tcBorders>
            <w:vAlign w:val="center"/>
            <w:hideMark/>
          </w:tcPr>
          <w:p w:rsidR="005D0B92" w:rsidRPr="009B12FF" w:rsidRDefault="005D0B92" w:rsidP="00135E30">
            <w:pPr>
              <w:rPr>
                <w:rFonts w:ascii="Arial" w:hAnsi="Arial" w:cs="Arial"/>
                <w:color w:val="FF0000"/>
                <w:sz w:val="22"/>
                <w:szCs w:val="22"/>
                <w:lang w:val="es-CR" w:eastAsia="es-CR"/>
              </w:rPr>
            </w:pPr>
          </w:p>
        </w:tc>
        <w:tc>
          <w:tcPr>
            <w:tcW w:w="1134" w:type="dxa"/>
            <w:tcBorders>
              <w:top w:val="nil"/>
              <w:left w:val="nil"/>
              <w:bottom w:val="nil"/>
              <w:right w:val="nil"/>
            </w:tcBorders>
            <w:shd w:val="clear" w:color="auto" w:fill="auto"/>
            <w:hideMark/>
          </w:tcPr>
          <w:p w:rsidR="005D0B92" w:rsidRPr="009B12FF" w:rsidRDefault="005D0B92" w:rsidP="00135E30">
            <w:pPr>
              <w:rPr>
                <w:rFonts w:ascii="Arial" w:hAnsi="Arial" w:cs="Arial"/>
                <w:b/>
                <w:bCs/>
                <w:color w:val="FF0000"/>
                <w:sz w:val="22"/>
                <w:szCs w:val="22"/>
                <w:lang w:val="es-CR" w:eastAsia="es-CR"/>
              </w:rPr>
            </w:pPr>
          </w:p>
        </w:tc>
      </w:tr>
    </w:tbl>
    <w:p w:rsidR="00DA002E" w:rsidRPr="009B12FF" w:rsidRDefault="008D7D6E" w:rsidP="008D7D6E">
      <w:pPr>
        <w:jc w:val="both"/>
        <w:rPr>
          <w:rFonts w:ascii="Arial" w:hAnsi="Arial" w:cs="Arial"/>
          <w:b/>
          <w:bCs/>
          <w:color w:val="000000" w:themeColor="text1"/>
          <w:sz w:val="22"/>
          <w:szCs w:val="22"/>
        </w:rPr>
      </w:pPr>
      <w:r w:rsidRPr="009B12FF">
        <w:rPr>
          <w:rFonts w:ascii="Arial" w:hAnsi="Arial" w:cs="Arial"/>
          <w:sz w:val="22"/>
          <w:szCs w:val="22"/>
          <w:lang w:val="es-CR" w:eastAsia="es-CR"/>
        </w:rPr>
        <w:t>En la utilidad neta por distribuir del período 2013</w:t>
      </w:r>
      <w:r w:rsidR="004B0C7F" w:rsidRPr="009B12FF">
        <w:rPr>
          <w:rFonts w:ascii="Arial" w:hAnsi="Arial" w:cs="Arial"/>
          <w:sz w:val="22"/>
          <w:szCs w:val="22"/>
          <w:lang w:val="es-CR" w:eastAsia="es-CR"/>
        </w:rPr>
        <w:t>,</w:t>
      </w:r>
      <w:r w:rsidRPr="009B12FF">
        <w:rPr>
          <w:rFonts w:ascii="Arial" w:hAnsi="Arial" w:cs="Arial"/>
          <w:sz w:val="22"/>
          <w:szCs w:val="22"/>
          <w:lang w:val="es-CR" w:eastAsia="es-CR"/>
        </w:rPr>
        <w:t xml:space="preserve"> </w:t>
      </w:r>
      <w:r w:rsidR="00FB4C0E" w:rsidRPr="009B12FF">
        <w:rPr>
          <w:rFonts w:ascii="Arial" w:hAnsi="Arial" w:cs="Arial"/>
          <w:sz w:val="22"/>
          <w:szCs w:val="22"/>
          <w:lang w:val="es-CR" w:eastAsia="es-CR"/>
        </w:rPr>
        <w:t xml:space="preserve">se incluye </w:t>
      </w:r>
      <w:r w:rsidRPr="009B12FF">
        <w:rPr>
          <w:rFonts w:ascii="Arial" w:hAnsi="Arial" w:cs="Arial"/>
          <w:sz w:val="22"/>
          <w:szCs w:val="22"/>
        </w:rPr>
        <w:t xml:space="preserve">el monto de </w:t>
      </w:r>
      <w:r w:rsidR="004B0C7F" w:rsidRPr="009B12FF">
        <w:rPr>
          <w:rFonts w:ascii="Arial" w:hAnsi="Arial" w:cs="Arial"/>
          <w:sz w:val="22"/>
          <w:szCs w:val="22"/>
        </w:rPr>
        <w:t>¢660.185.017.00 que</w:t>
      </w:r>
      <w:r w:rsidRPr="009B12FF">
        <w:rPr>
          <w:rFonts w:ascii="Arial" w:hAnsi="Arial" w:cs="Arial"/>
          <w:sz w:val="22"/>
          <w:szCs w:val="22"/>
        </w:rPr>
        <w:t xml:space="preserve"> corresponde a la aplicación del acuerdo </w:t>
      </w:r>
      <w:r w:rsidR="004B0C7F" w:rsidRPr="009B12FF">
        <w:rPr>
          <w:rFonts w:ascii="Arial" w:hAnsi="Arial" w:cs="Arial"/>
          <w:sz w:val="22"/>
          <w:szCs w:val="22"/>
        </w:rPr>
        <w:t>de</w:t>
      </w:r>
      <w:r w:rsidRPr="009B12FF">
        <w:rPr>
          <w:rFonts w:ascii="Arial" w:hAnsi="Arial" w:cs="Arial"/>
          <w:sz w:val="22"/>
          <w:szCs w:val="22"/>
        </w:rPr>
        <w:t xml:space="preserve"> Junta Directiva </w:t>
      </w:r>
      <w:r w:rsidR="00234CD9" w:rsidRPr="009B12FF">
        <w:rPr>
          <w:rFonts w:ascii="Arial" w:hAnsi="Arial" w:cs="Arial"/>
          <w:sz w:val="22"/>
          <w:szCs w:val="22"/>
        </w:rPr>
        <w:t>JD 620 del 24 de octubre de 2013, artículo III, inciso 3 de la sesión extraordinaria No. 19-2013</w:t>
      </w:r>
      <w:r w:rsidR="00FB4C0E" w:rsidRPr="009B12FF">
        <w:rPr>
          <w:rFonts w:ascii="Arial" w:hAnsi="Arial" w:cs="Arial"/>
          <w:sz w:val="22"/>
          <w:szCs w:val="22"/>
        </w:rPr>
        <w:t>.  En el cual se autorizó</w:t>
      </w:r>
      <w:r w:rsidRPr="009B12FF">
        <w:rPr>
          <w:rFonts w:ascii="Arial" w:hAnsi="Arial" w:cs="Arial"/>
          <w:sz w:val="22"/>
          <w:szCs w:val="22"/>
        </w:rPr>
        <w:t xml:space="preserve"> destinar el 3.5 d</w:t>
      </w:r>
      <w:r w:rsidR="006B4921" w:rsidRPr="009B12FF">
        <w:rPr>
          <w:rFonts w:ascii="Arial" w:hAnsi="Arial" w:cs="Arial"/>
          <w:sz w:val="22"/>
          <w:szCs w:val="22"/>
        </w:rPr>
        <w:t xml:space="preserve">el fondo de premios especiales </w:t>
      </w:r>
      <w:r w:rsidRPr="009B12FF">
        <w:rPr>
          <w:rFonts w:ascii="Arial" w:hAnsi="Arial" w:cs="Arial"/>
          <w:sz w:val="22"/>
          <w:szCs w:val="22"/>
        </w:rPr>
        <w:t>para cubrir el exceso del pago</w:t>
      </w:r>
      <w:r w:rsidR="006B4921" w:rsidRPr="009B12FF">
        <w:rPr>
          <w:rFonts w:ascii="Arial" w:hAnsi="Arial" w:cs="Arial"/>
          <w:sz w:val="22"/>
          <w:szCs w:val="22"/>
        </w:rPr>
        <w:t xml:space="preserve"> de premios sobre las ventas. Este</w:t>
      </w:r>
      <w:r w:rsidRPr="009B12FF">
        <w:rPr>
          <w:rFonts w:ascii="Arial" w:hAnsi="Arial" w:cs="Arial"/>
          <w:sz w:val="22"/>
          <w:szCs w:val="22"/>
        </w:rPr>
        <w:t xml:space="preserve"> ajuste se realizó en la liquidación de octubre 2013.   </w:t>
      </w:r>
    </w:p>
    <w:p w:rsidR="0080108F" w:rsidRDefault="0080108F">
      <w:pPr>
        <w:rPr>
          <w:rFonts w:ascii="Arial" w:hAnsi="Arial" w:cs="Arial"/>
          <w:bCs/>
          <w:color w:val="000000" w:themeColor="text1"/>
          <w:sz w:val="22"/>
          <w:szCs w:val="22"/>
        </w:rPr>
      </w:pPr>
    </w:p>
    <w:p w:rsidR="00EF0F0B" w:rsidRDefault="008D442D" w:rsidP="006370E7">
      <w:pPr>
        <w:jc w:val="both"/>
        <w:rPr>
          <w:rFonts w:ascii="Arial" w:hAnsi="Arial" w:cs="Arial"/>
          <w:color w:val="000000" w:themeColor="text1"/>
          <w:sz w:val="22"/>
          <w:szCs w:val="22"/>
        </w:rPr>
      </w:pPr>
      <w:r>
        <w:rPr>
          <w:rFonts w:ascii="Arial" w:hAnsi="Arial" w:cs="Arial"/>
          <w:color w:val="000000" w:themeColor="text1"/>
          <w:sz w:val="22"/>
          <w:szCs w:val="22"/>
        </w:rPr>
        <w:t xml:space="preserve">(*) </w:t>
      </w:r>
      <w:r w:rsidR="00911E10">
        <w:rPr>
          <w:rFonts w:ascii="Arial" w:hAnsi="Arial" w:cs="Arial"/>
          <w:color w:val="000000" w:themeColor="text1"/>
          <w:sz w:val="22"/>
          <w:szCs w:val="22"/>
        </w:rPr>
        <w:t>Por un efecto de ajuste en la lotería Instantánea se presenta una diferencia respecto al indicador del período 2012.</w:t>
      </w:r>
    </w:p>
    <w:p w:rsidR="006370E7" w:rsidRDefault="006370E7">
      <w:pPr>
        <w:rPr>
          <w:rFonts w:ascii="Arial" w:hAnsi="Arial" w:cs="Arial"/>
          <w:bCs/>
          <w:color w:val="000000" w:themeColor="text1"/>
          <w:sz w:val="22"/>
          <w:szCs w:val="22"/>
          <w:highlight w:val="red"/>
        </w:rPr>
      </w:pPr>
    </w:p>
    <w:p w:rsidR="00911E10" w:rsidRDefault="00911E10">
      <w:pPr>
        <w:rPr>
          <w:rFonts w:ascii="Arial" w:hAnsi="Arial" w:cs="Arial"/>
          <w:bCs/>
          <w:color w:val="000000" w:themeColor="text1"/>
          <w:sz w:val="22"/>
          <w:szCs w:val="22"/>
          <w:highlight w:val="red"/>
        </w:rPr>
      </w:pPr>
    </w:p>
    <w:p w:rsidR="006370E7" w:rsidRDefault="006370E7">
      <w:pPr>
        <w:rPr>
          <w:rFonts w:ascii="Arial" w:hAnsi="Arial" w:cs="Arial"/>
          <w:bCs/>
          <w:color w:val="000000" w:themeColor="text1"/>
          <w:sz w:val="22"/>
          <w:szCs w:val="22"/>
          <w:highlight w:val="red"/>
        </w:rPr>
      </w:pPr>
    </w:p>
    <w:p w:rsidR="00EC653D" w:rsidRPr="009B12FF" w:rsidRDefault="00EC653D" w:rsidP="001B2FF4">
      <w:pPr>
        <w:pStyle w:val="Ttulo2"/>
        <w:jc w:val="center"/>
        <w:rPr>
          <w:rFonts w:ascii="Arial" w:hAnsi="Arial" w:cs="Arial"/>
          <w:color w:val="000000" w:themeColor="text1"/>
          <w:sz w:val="22"/>
          <w:szCs w:val="22"/>
        </w:rPr>
      </w:pPr>
      <w:bookmarkStart w:id="23" w:name="_Toc376955560"/>
      <w:r w:rsidRPr="009B12FF">
        <w:rPr>
          <w:rFonts w:ascii="Arial" w:hAnsi="Arial" w:cs="Arial"/>
          <w:bCs w:val="0"/>
          <w:color w:val="000000" w:themeColor="text1"/>
          <w:sz w:val="22"/>
          <w:szCs w:val="22"/>
        </w:rPr>
        <w:t>Programa 2, Administración de Loterías</w:t>
      </w:r>
      <w:r w:rsidR="00C01BA5" w:rsidRPr="009B12FF">
        <w:rPr>
          <w:rFonts w:ascii="Arial" w:hAnsi="Arial" w:cs="Arial"/>
          <w:bCs w:val="0"/>
          <w:color w:val="000000" w:themeColor="text1"/>
          <w:sz w:val="22"/>
          <w:szCs w:val="22"/>
        </w:rPr>
        <w:t xml:space="preserve"> (</w:t>
      </w:r>
      <w:r w:rsidR="00FE254F" w:rsidRPr="009B12FF">
        <w:rPr>
          <w:rFonts w:ascii="Arial" w:hAnsi="Arial" w:cs="Arial"/>
          <w:bCs w:val="0"/>
          <w:color w:val="000000" w:themeColor="text1"/>
          <w:sz w:val="22"/>
          <w:szCs w:val="22"/>
        </w:rPr>
        <w:t xml:space="preserve">Gerencia </w:t>
      </w:r>
      <w:r w:rsidR="00C01BA5" w:rsidRPr="009B12FF">
        <w:rPr>
          <w:rFonts w:ascii="Arial" w:hAnsi="Arial" w:cs="Arial"/>
          <w:bCs w:val="0"/>
          <w:color w:val="000000" w:themeColor="text1"/>
          <w:sz w:val="22"/>
          <w:szCs w:val="22"/>
        </w:rPr>
        <w:t>de Producción y Ventas)</w:t>
      </w:r>
      <w:bookmarkEnd w:id="23"/>
    </w:p>
    <w:p w:rsidR="00881DDC" w:rsidRPr="009B12FF" w:rsidRDefault="00881DDC" w:rsidP="001B2FF4">
      <w:pPr>
        <w:jc w:val="both"/>
        <w:rPr>
          <w:rFonts w:ascii="Arial" w:hAnsi="Arial" w:cs="Arial"/>
          <w:color w:val="000000"/>
        </w:rPr>
      </w:pPr>
      <w:r w:rsidRPr="009B12FF">
        <w:rPr>
          <w:rFonts w:ascii="Arial" w:hAnsi="Arial" w:cs="Arial"/>
          <w:b/>
          <w:bCs/>
          <w:color w:val="000000"/>
        </w:rPr>
        <w:t xml:space="preserve">Descripción: </w:t>
      </w:r>
      <w:r w:rsidRPr="009B12FF">
        <w:rPr>
          <w:rFonts w:ascii="Arial" w:hAnsi="Arial" w:cs="Arial"/>
          <w:color w:val="000000"/>
        </w:rPr>
        <w:t>La gestión de producción y ventas muestra el resultado de las labores que se desarrollan en torno a la producción y la distribución de las diferentes loterías, con la finalidad de contribuir a la generación de recursos económicos que se distribuyen entre las organizaciones de bienestar social para solventar necesidades básicas de su población, estos recursos se convierten en el Producto Institucional de “Transferencias de Recursos a las Organizaciones de Bienestar Social” , mismas que a su vez son los usuarios y beneficiarios de la Institución.</w:t>
      </w:r>
    </w:p>
    <w:p w:rsidR="00881DDC" w:rsidRPr="009B12FF" w:rsidRDefault="00881DDC" w:rsidP="00881DDC">
      <w:pPr>
        <w:jc w:val="both"/>
        <w:rPr>
          <w:rFonts w:ascii="Arial" w:hAnsi="Arial" w:cs="Arial"/>
          <w:color w:val="000000"/>
        </w:rPr>
      </w:pPr>
    </w:p>
    <w:p w:rsidR="00881DDC" w:rsidRPr="009B12FF" w:rsidRDefault="00881DDC" w:rsidP="00881DDC">
      <w:pPr>
        <w:jc w:val="both"/>
        <w:rPr>
          <w:rFonts w:ascii="Arial" w:hAnsi="Arial" w:cs="Arial"/>
          <w:color w:val="000000"/>
        </w:rPr>
      </w:pPr>
      <w:r w:rsidRPr="009B12FF">
        <w:rPr>
          <w:rFonts w:ascii="Arial" w:hAnsi="Arial" w:cs="Arial"/>
          <w:color w:val="000000"/>
        </w:rPr>
        <w:t>Esta gestión constituye el conjunto de actividades que se desarrollan en la Dirección de Producción y Ventas y en los departamentos de Imprenta, Loterías, Mercadeo e Inspectores, mismos que conforman parte de este programa.</w:t>
      </w:r>
    </w:p>
    <w:p w:rsidR="00881DDC" w:rsidRPr="009B12FF" w:rsidRDefault="00881DDC" w:rsidP="00881DDC">
      <w:pPr>
        <w:tabs>
          <w:tab w:val="left" w:pos="142"/>
        </w:tabs>
        <w:jc w:val="both"/>
        <w:rPr>
          <w:rFonts w:ascii="Arial" w:hAnsi="Arial" w:cs="Arial"/>
          <w:b/>
          <w:bCs/>
          <w:color w:val="000000"/>
        </w:rPr>
      </w:pPr>
    </w:p>
    <w:p w:rsidR="00881DDC" w:rsidRPr="009B12FF" w:rsidRDefault="00881DDC" w:rsidP="00881DDC">
      <w:pPr>
        <w:tabs>
          <w:tab w:val="left" w:pos="142"/>
        </w:tabs>
        <w:jc w:val="both"/>
        <w:rPr>
          <w:rFonts w:ascii="Arial" w:hAnsi="Arial" w:cs="Arial"/>
          <w:bCs/>
          <w:color w:val="000000"/>
        </w:rPr>
      </w:pPr>
      <w:r w:rsidRPr="009B12FF">
        <w:rPr>
          <w:rFonts w:ascii="Arial" w:hAnsi="Arial" w:cs="Arial"/>
          <w:b/>
          <w:bCs/>
          <w:color w:val="000000"/>
        </w:rPr>
        <w:t>Misión del programa</w:t>
      </w:r>
      <w:r w:rsidRPr="009B12FF">
        <w:rPr>
          <w:rFonts w:ascii="Arial" w:hAnsi="Arial" w:cs="Arial"/>
          <w:bCs/>
          <w:color w:val="000000"/>
        </w:rPr>
        <w:t>:</w:t>
      </w:r>
      <w:r w:rsidRPr="009B12FF">
        <w:rPr>
          <w:rFonts w:ascii="Arial" w:hAnsi="Arial" w:cs="Arial"/>
          <w:color w:val="000000"/>
        </w:rPr>
        <w:t xml:space="preserve"> </w:t>
      </w:r>
      <w:r w:rsidRPr="009B12FF">
        <w:rPr>
          <w:rFonts w:ascii="Arial" w:hAnsi="Arial" w:cs="Arial"/>
          <w:bCs/>
          <w:color w:val="000000"/>
        </w:rPr>
        <w:t>“Generar mayores recursos para la salud, la vivienda y el bienestar general conforme lo dispone las leyes específicas para la distribución de las rentas de las loterías nacionales”.</w:t>
      </w:r>
    </w:p>
    <w:p w:rsidR="00881DDC" w:rsidRPr="009B12FF" w:rsidRDefault="00881DDC" w:rsidP="00881DDC">
      <w:pPr>
        <w:tabs>
          <w:tab w:val="left" w:pos="142"/>
        </w:tabs>
        <w:jc w:val="both"/>
        <w:rPr>
          <w:rFonts w:ascii="Arial" w:hAnsi="Arial" w:cs="Arial"/>
          <w:bCs/>
          <w:color w:val="000000"/>
        </w:rPr>
      </w:pPr>
    </w:p>
    <w:p w:rsidR="00881DDC" w:rsidRPr="009B12FF" w:rsidRDefault="00881DDC" w:rsidP="00881DDC">
      <w:pPr>
        <w:pStyle w:val="Ttulo2"/>
        <w:keepNext/>
        <w:spacing w:before="0" w:beforeAutospacing="0" w:after="0" w:afterAutospacing="0"/>
        <w:jc w:val="both"/>
        <w:rPr>
          <w:rFonts w:ascii="Arial" w:hAnsi="Arial" w:cs="Arial"/>
          <w:color w:val="000000"/>
          <w:sz w:val="24"/>
          <w:szCs w:val="24"/>
          <w:u w:val="single"/>
        </w:rPr>
      </w:pPr>
      <w:bookmarkStart w:id="24" w:name="_Toc376955561"/>
      <w:r w:rsidRPr="009B12FF">
        <w:rPr>
          <w:rFonts w:ascii="Arial" w:hAnsi="Arial" w:cs="Arial"/>
          <w:color w:val="000000"/>
          <w:sz w:val="24"/>
          <w:szCs w:val="24"/>
          <w:u w:val="single"/>
        </w:rPr>
        <w:t>Objetivos estratégicos del programa:</w:t>
      </w:r>
      <w:bookmarkEnd w:id="24"/>
      <w:r w:rsidRPr="009B12FF">
        <w:rPr>
          <w:rFonts w:ascii="Arial" w:hAnsi="Arial" w:cs="Arial"/>
          <w:color w:val="000000"/>
          <w:sz w:val="24"/>
          <w:szCs w:val="24"/>
          <w:u w:val="single"/>
        </w:rPr>
        <w:t xml:space="preserve"> </w:t>
      </w:r>
    </w:p>
    <w:p w:rsidR="00881DDC" w:rsidRPr="009B12FF" w:rsidRDefault="00881DDC" w:rsidP="00881DDC">
      <w:pPr>
        <w:pStyle w:val="Ttulo2"/>
        <w:keepNext/>
        <w:spacing w:before="0" w:beforeAutospacing="0" w:after="0" w:afterAutospacing="0"/>
        <w:jc w:val="both"/>
        <w:rPr>
          <w:rFonts w:ascii="Arial" w:hAnsi="Arial" w:cs="Arial"/>
          <w:color w:val="000000"/>
          <w:sz w:val="24"/>
          <w:szCs w:val="24"/>
          <w:u w:val="single"/>
        </w:rPr>
      </w:pPr>
    </w:p>
    <w:p w:rsidR="00881DDC" w:rsidRPr="009B12FF" w:rsidRDefault="00881DDC" w:rsidP="00881DDC">
      <w:pPr>
        <w:pStyle w:val="Textoindependiente"/>
        <w:numPr>
          <w:ilvl w:val="0"/>
          <w:numId w:val="2"/>
        </w:numPr>
        <w:jc w:val="both"/>
        <w:rPr>
          <w:rFonts w:cs="Arial"/>
          <w:color w:val="000000"/>
          <w:szCs w:val="24"/>
        </w:rPr>
      </w:pPr>
      <w:r w:rsidRPr="009B12FF">
        <w:rPr>
          <w:rFonts w:cs="Arial"/>
          <w:color w:val="000000"/>
          <w:szCs w:val="24"/>
        </w:rPr>
        <w:t>“Generar y transferir mayores utilidades netas con la finalidad de colaborar con los programas desarrollados por las instituciones y organizaciones de bienestar social”</w:t>
      </w:r>
    </w:p>
    <w:p w:rsidR="00881DDC" w:rsidRPr="009B12FF" w:rsidRDefault="00881DDC" w:rsidP="00881DDC">
      <w:pPr>
        <w:pStyle w:val="Textoindependiente"/>
        <w:ind w:firstLine="708"/>
        <w:jc w:val="both"/>
        <w:rPr>
          <w:rFonts w:cs="Arial"/>
          <w:color w:val="000000"/>
          <w:szCs w:val="24"/>
        </w:rPr>
      </w:pPr>
    </w:p>
    <w:p w:rsidR="00881DDC" w:rsidRPr="009B12FF" w:rsidRDefault="00881DDC" w:rsidP="00881DDC">
      <w:pPr>
        <w:pStyle w:val="Textoindependiente"/>
        <w:numPr>
          <w:ilvl w:val="0"/>
          <w:numId w:val="2"/>
        </w:numPr>
        <w:jc w:val="both"/>
        <w:rPr>
          <w:rFonts w:cs="Arial"/>
          <w:color w:val="000000"/>
          <w:szCs w:val="24"/>
        </w:rPr>
      </w:pPr>
      <w:r w:rsidRPr="009B12FF">
        <w:rPr>
          <w:rFonts w:cs="Arial"/>
          <w:color w:val="000000"/>
          <w:szCs w:val="24"/>
        </w:rPr>
        <w:t xml:space="preserve">Establecer y mantener condiciones de accesibilidad al medio físico de edificios objetos o entorno para que facilite el disfrute y uso por todas las personas en igualdad de condiciones, de comodidad, autonomía y seguridad en atención a </w:t>
      </w:r>
      <w:smartTag w:uri="urn:schemas-microsoft-com:office:smarttags" w:element="PersonName">
        <w:smartTagPr>
          <w:attr w:name="ProductID" w:val="la Ley"/>
        </w:smartTagPr>
        <w:r w:rsidRPr="009B12FF">
          <w:rPr>
            <w:rFonts w:cs="Arial"/>
            <w:color w:val="000000"/>
            <w:szCs w:val="24"/>
          </w:rPr>
          <w:t>la Ley</w:t>
        </w:r>
      </w:smartTag>
      <w:r w:rsidRPr="009B12FF">
        <w:rPr>
          <w:rFonts w:cs="Arial"/>
          <w:color w:val="000000"/>
          <w:szCs w:val="24"/>
        </w:rPr>
        <w:t xml:space="preserve"> 7600 y normas internacionales en materia de discapacidad.</w:t>
      </w:r>
    </w:p>
    <w:p w:rsidR="00881DDC" w:rsidRPr="009B12FF" w:rsidRDefault="00881DDC" w:rsidP="00881DDC">
      <w:pPr>
        <w:pStyle w:val="Textoindependiente"/>
        <w:jc w:val="both"/>
        <w:rPr>
          <w:rFonts w:cs="Arial"/>
          <w:b/>
          <w:color w:val="000000"/>
          <w:szCs w:val="24"/>
        </w:rPr>
      </w:pPr>
    </w:p>
    <w:p w:rsidR="00881DDC" w:rsidRPr="009B12FF" w:rsidRDefault="00881DDC" w:rsidP="00881DDC">
      <w:pPr>
        <w:pStyle w:val="Textoindependiente"/>
        <w:rPr>
          <w:rFonts w:cs="Arial"/>
          <w:b/>
          <w:szCs w:val="24"/>
          <w:u w:val="single"/>
        </w:rPr>
      </w:pPr>
      <w:r w:rsidRPr="009B12FF">
        <w:rPr>
          <w:rFonts w:cs="Arial"/>
          <w:b/>
          <w:szCs w:val="24"/>
          <w:u w:val="single"/>
        </w:rPr>
        <w:t>Meta cumplida</w:t>
      </w:r>
    </w:p>
    <w:p w:rsidR="00881DDC" w:rsidRPr="009B12FF" w:rsidRDefault="00881DDC" w:rsidP="00881DDC">
      <w:pPr>
        <w:pStyle w:val="Textoindependiente"/>
        <w:jc w:val="both"/>
        <w:rPr>
          <w:rFonts w:cs="Arial"/>
          <w:b/>
          <w:color w:val="FF0000"/>
          <w:szCs w:val="24"/>
        </w:rPr>
      </w:pPr>
    </w:p>
    <w:p w:rsidR="00881DDC" w:rsidRPr="009B12FF" w:rsidRDefault="001B2FF4" w:rsidP="001B2FF4">
      <w:pPr>
        <w:pStyle w:val="Textoindependiente"/>
        <w:jc w:val="both"/>
        <w:rPr>
          <w:rFonts w:cs="Arial"/>
          <w:b/>
          <w:color w:val="000000"/>
          <w:szCs w:val="24"/>
        </w:rPr>
      </w:pPr>
      <w:r w:rsidRPr="009B12FF">
        <w:rPr>
          <w:rFonts w:cs="Arial"/>
          <w:b/>
          <w:color w:val="000000"/>
          <w:szCs w:val="24"/>
        </w:rPr>
        <w:t>Indicador Nº.</w:t>
      </w:r>
      <w:r w:rsidR="00881DDC" w:rsidRPr="009B12FF">
        <w:rPr>
          <w:rFonts w:cs="Arial"/>
          <w:b/>
          <w:color w:val="000000"/>
          <w:szCs w:val="24"/>
        </w:rPr>
        <w:t>1</w:t>
      </w:r>
    </w:p>
    <w:p w:rsidR="00881DDC" w:rsidRPr="009B12FF" w:rsidRDefault="00881DDC" w:rsidP="00881DDC">
      <w:pPr>
        <w:pStyle w:val="Textoindependiente"/>
        <w:jc w:val="both"/>
        <w:rPr>
          <w:rFonts w:cs="Arial"/>
          <w:b/>
          <w:color w:val="000000"/>
          <w:szCs w:val="24"/>
        </w:rPr>
      </w:pPr>
    </w:p>
    <w:p w:rsidR="00881DDC" w:rsidRPr="009B12FF" w:rsidRDefault="00881DDC" w:rsidP="00881DDC">
      <w:pPr>
        <w:pStyle w:val="Textoindependiente"/>
        <w:jc w:val="both"/>
        <w:rPr>
          <w:rFonts w:cs="Arial"/>
          <w:b/>
          <w:color w:val="000000"/>
          <w:szCs w:val="24"/>
        </w:rPr>
      </w:pPr>
      <w:r w:rsidRPr="009B12FF">
        <w:rPr>
          <w:rFonts w:cs="Arial"/>
          <w:b/>
          <w:color w:val="000000"/>
          <w:szCs w:val="24"/>
        </w:rPr>
        <w:t>Porcentaje de ejecución de ventas efectivas</w:t>
      </w:r>
      <w:r w:rsidRPr="009B12FF">
        <w:rPr>
          <w:rStyle w:val="Refdenotaalpie"/>
          <w:rFonts w:cs="Arial"/>
          <w:b/>
          <w:color w:val="000000"/>
        </w:rPr>
        <w:footnoteReference w:id="1"/>
      </w:r>
      <w:r w:rsidRPr="009B12FF">
        <w:rPr>
          <w:rFonts w:cs="Arial"/>
          <w:b/>
          <w:color w:val="000000"/>
          <w:szCs w:val="24"/>
        </w:rPr>
        <w:t xml:space="preserve"> de lotería respecto a las ventas efectivas de lotería presupuestada para el periodo actual. </w:t>
      </w:r>
    </w:p>
    <w:p w:rsidR="00881DDC" w:rsidRPr="009B12FF" w:rsidRDefault="00881DDC" w:rsidP="00560485">
      <w:pPr>
        <w:pStyle w:val="Textoindependiente"/>
        <w:jc w:val="center"/>
        <w:rPr>
          <w:rFonts w:cs="Arial"/>
          <w:color w:val="000000"/>
          <w:szCs w:val="24"/>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992"/>
        <w:gridCol w:w="1985"/>
        <w:gridCol w:w="1984"/>
      </w:tblGrid>
      <w:tr w:rsidR="00881DDC" w:rsidRPr="009B12FF" w:rsidTr="00881DDC">
        <w:tc>
          <w:tcPr>
            <w:tcW w:w="3652" w:type="dxa"/>
            <w:vAlign w:val="center"/>
          </w:tcPr>
          <w:p w:rsidR="00881DDC" w:rsidRPr="009B12FF" w:rsidRDefault="00881DDC" w:rsidP="00881DDC">
            <w:pPr>
              <w:spacing w:line="276" w:lineRule="auto"/>
              <w:jc w:val="center"/>
              <w:rPr>
                <w:rFonts w:ascii="Arial" w:hAnsi="Arial" w:cs="Arial"/>
                <w:b/>
                <w:color w:val="000000" w:themeColor="text1"/>
                <w:sz w:val="22"/>
                <w:szCs w:val="22"/>
              </w:rPr>
            </w:pPr>
            <w:r w:rsidRPr="009B12FF">
              <w:rPr>
                <w:rFonts w:ascii="Arial" w:hAnsi="Arial" w:cs="Arial"/>
                <w:b/>
                <w:color w:val="000000" w:themeColor="text1"/>
                <w:sz w:val="22"/>
                <w:szCs w:val="22"/>
              </w:rPr>
              <w:t>Fórmula del Indicador</w:t>
            </w:r>
          </w:p>
        </w:tc>
        <w:tc>
          <w:tcPr>
            <w:tcW w:w="992" w:type="dxa"/>
            <w:vAlign w:val="center"/>
          </w:tcPr>
          <w:p w:rsidR="00881DDC" w:rsidRPr="009B12FF" w:rsidRDefault="00881DDC" w:rsidP="00881DDC">
            <w:pPr>
              <w:spacing w:line="276" w:lineRule="auto"/>
              <w:jc w:val="center"/>
              <w:rPr>
                <w:rFonts w:ascii="Arial" w:hAnsi="Arial" w:cs="Arial"/>
                <w:b/>
                <w:color w:val="000000" w:themeColor="text1"/>
                <w:sz w:val="22"/>
                <w:szCs w:val="22"/>
              </w:rPr>
            </w:pPr>
            <w:r w:rsidRPr="009B12FF">
              <w:rPr>
                <w:rFonts w:ascii="Arial" w:hAnsi="Arial" w:cs="Arial"/>
                <w:b/>
                <w:color w:val="000000" w:themeColor="text1"/>
                <w:sz w:val="22"/>
                <w:szCs w:val="22"/>
              </w:rPr>
              <w:t>Meta</w:t>
            </w:r>
          </w:p>
        </w:tc>
        <w:tc>
          <w:tcPr>
            <w:tcW w:w="1985" w:type="dxa"/>
            <w:vAlign w:val="center"/>
          </w:tcPr>
          <w:p w:rsidR="00881DDC" w:rsidRPr="009B12FF" w:rsidRDefault="00881DDC" w:rsidP="00881DDC">
            <w:pPr>
              <w:spacing w:line="276" w:lineRule="auto"/>
              <w:jc w:val="center"/>
              <w:rPr>
                <w:rFonts w:ascii="Arial" w:hAnsi="Arial" w:cs="Arial"/>
                <w:b/>
                <w:color w:val="000000" w:themeColor="text1"/>
                <w:sz w:val="22"/>
                <w:szCs w:val="22"/>
              </w:rPr>
            </w:pPr>
            <w:r w:rsidRPr="009B12FF">
              <w:rPr>
                <w:rFonts w:ascii="Arial" w:hAnsi="Arial" w:cs="Arial"/>
                <w:b/>
                <w:color w:val="000000" w:themeColor="text1"/>
                <w:sz w:val="22"/>
                <w:szCs w:val="22"/>
              </w:rPr>
              <w:t>Real alcanzado</w:t>
            </w:r>
          </w:p>
        </w:tc>
        <w:tc>
          <w:tcPr>
            <w:tcW w:w="1984" w:type="dxa"/>
          </w:tcPr>
          <w:p w:rsidR="00881DDC" w:rsidRPr="009B12FF" w:rsidRDefault="00881DDC" w:rsidP="00881DDC">
            <w:pPr>
              <w:spacing w:line="276" w:lineRule="auto"/>
              <w:jc w:val="center"/>
              <w:rPr>
                <w:rFonts w:ascii="Arial" w:hAnsi="Arial" w:cs="Arial"/>
                <w:b/>
                <w:color w:val="000000" w:themeColor="text1"/>
                <w:sz w:val="22"/>
                <w:szCs w:val="22"/>
              </w:rPr>
            </w:pPr>
            <w:r w:rsidRPr="009B12FF">
              <w:rPr>
                <w:rFonts w:ascii="Arial" w:hAnsi="Arial" w:cs="Arial"/>
                <w:b/>
                <w:color w:val="000000" w:themeColor="text1"/>
                <w:sz w:val="22"/>
                <w:szCs w:val="22"/>
              </w:rPr>
              <w:t>% Cumplimiento</w:t>
            </w:r>
          </w:p>
        </w:tc>
      </w:tr>
      <w:tr w:rsidR="00881DDC" w:rsidRPr="009B12FF" w:rsidTr="00881DDC">
        <w:tc>
          <w:tcPr>
            <w:tcW w:w="3652" w:type="dxa"/>
            <w:vAlign w:val="center"/>
          </w:tcPr>
          <w:p w:rsidR="00881DDC" w:rsidRPr="009B12FF" w:rsidRDefault="00881DDC" w:rsidP="00881DDC">
            <w:pPr>
              <w:spacing w:line="276" w:lineRule="auto"/>
              <w:rPr>
                <w:rFonts w:ascii="Arial" w:hAnsi="Arial" w:cs="Arial"/>
                <w:color w:val="000000" w:themeColor="text1"/>
                <w:sz w:val="22"/>
                <w:szCs w:val="22"/>
              </w:rPr>
            </w:pPr>
            <w:r w:rsidRPr="009B12FF">
              <w:rPr>
                <w:rFonts w:ascii="Arial" w:hAnsi="Arial" w:cs="Arial"/>
                <w:color w:val="000000" w:themeColor="text1"/>
                <w:sz w:val="22"/>
                <w:szCs w:val="22"/>
              </w:rPr>
              <w:t xml:space="preserve">(Venta efectiva de lotería año X/Venta efectiva </w:t>
            </w:r>
            <w:r w:rsidR="00DB12C8" w:rsidRPr="009B12FF">
              <w:rPr>
                <w:rFonts w:ascii="Arial" w:hAnsi="Arial" w:cs="Arial"/>
                <w:color w:val="000000" w:themeColor="text1"/>
                <w:sz w:val="22"/>
                <w:szCs w:val="22"/>
              </w:rPr>
              <w:t>de lotería presupuestada año x)*</w:t>
            </w:r>
            <w:r w:rsidRPr="009B12FF">
              <w:rPr>
                <w:rFonts w:ascii="Arial" w:hAnsi="Arial" w:cs="Arial"/>
                <w:color w:val="000000" w:themeColor="text1"/>
                <w:sz w:val="22"/>
                <w:szCs w:val="22"/>
              </w:rPr>
              <w:t>100</w:t>
            </w:r>
          </w:p>
        </w:tc>
        <w:tc>
          <w:tcPr>
            <w:tcW w:w="992" w:type="dxa"/>
            <w:vAlign w:val="center"/>
          </w:tcPr>
          <w:p w:rsidR="00881DDC" w:rsidRPr="009B12FF" w:rsidRDefault="00881DDC" w:rsidP="00881DDC">
            <w:pPr>
              <w:spacing w:line="276" w:lineRule="auto"/>
              <w:jc w:val="center"/>
              <w:rPr>
                <w:rFonts w:ascii="Arial" w:hAnsi="Arial" w:cs="Arial"/>
                <w:color w:val="000000" w:themeColor="text1"/>
                <w:sz w:val="22"/>
                <w:szCs w:val="22"/>
              </w:rPr>
            </w:pPr>
            <w:r w:rsidRPr="009B12FF">
              <w:rPr>
                <w:rFonts w:ascii="Arial" w:hAnsi="Arial" w:cs="Arial"/>
                <w:color w:val="000000" w:themeColor="text1"/>
                <w:sz w:val="22"/>
                <w:szCs w:val="22"/>
              </w:rPr>
              <w:t>95%</w:t>
            </w:r>
          </w:p>
        </w:tc>
        <w:tc>
          <w:tcPr>
            <w:tcW w:w="1985" w:type="dxa"/>
            <w:vAlign w:val="center"/>
          </w:tcPr>
          <w:p w:rsidR="00881DDC" w:rsidRPr="009B12FF" w:rsidRDefault="00035DD0" w:rsidP="00881DDC">
            <w:pPr>
              <w:spacing w:line="276" w:lineRule="auto"/>
              <w:jc w:val="center"/>
              <w:rPr>
                <w:rFonts w:ascii="Arial" w:hAnsi="Arial" w:cs="Arial"/>
                <w:color w:val="000000" w:themeColor="text1"/>
                <w:sz w:val="22"/>
                <w:szCs w:val="22"/>
              </w:rPr>
            </w:pPr>
            <w:r w:rsidRPr="009B12FF">
              <w:rPr>
                <w:rFonts w:ascii="Palatino Linotype" w:hAnsi="Palatino Linotype" w:cs="Arial"/>
                <w:color w:val="000000"/>
              </w:rPr>
              <w:t>105.18%</w:t>
            </w:r>
          </w:p>
        </w:tc>
        <w:tc>
          <w:tcPr>
            <w:tcW w:w="1984" w:type="dxa"/>
          </w:tcPr>
          <w:p w:rsidR="00881DDC" w:rsidRPr="009B12FF" w:rsidRDefault="00881DDC" w:rsidP="00881DDC">
            <w:pPr>
              <w:spacing w:line="276" w:lineRule="auto"/>
              <w:jc w:val="center"/>
              <w:rPr>
                <w:rFonts w:ascii="Arial" w:hAnsi="Arial" w:cs="Arial"/>
                <w:color w:val="000000" w:themeColor="text1"/>
                <w:sz w:val="22"/>
                <w:szCs w:val="22"/>
              </w:rPr>
            </w:pPr>
          </w:p>
          <w:p w:rsidR="00881DDC" w:rsidRPr="009B12FF" w:rsidRDefault="00035DD0" w:rsidP="00881DDC">
            <w:pPr>
              <w:spacing w:line="276" w:lineRule="auto"/>
              <w:jc w:val="center"/>
              <w:rPr>
                <w:rFonts w:ascii="Arial" w:hAnsi="Arial" w:cs="Arial"/>
                <w:color w:val="000000" w:themeColor="text1"/>
                <w:sz w:val="22"/>
                <w:szCs w:val="22"/>
              </w:rPr>
            </w:pPr>
            <w:r w:rsidRPr="009B12FF">
              <w:rPr>
                <w:rFonts w:ascii="Palatino Linotype" w:hAnsi="Palatino Linotype" w:cs="Arial"/>
                <w:color w:val="000000"/>
              </w:rPr>
              <w:t>110.72%</w:t>
            </w:r>
          </w:p>
        </w:tc>
      </w:tr>
    </w:tbl>
    <w:p w:rsidR="00881DDC" w:rsidRPr="009B12FF" w:rsidRDefault="00881DDC" w:rsidP="00881DDC">
      <w:pPr>
        <w:pStyle w:val="Textoindependiente"/>
        <w:jc w:val="both"/>
        <w:rPr>
          <w:rFonts w:cs="Arial"/>
          <w:color w:val="000000"/>
          <w:szCs w:val="24"/>
        </w:rPr>
      </w:pPr>
    </w:p>
    <w:p w:rsidR="00881DDC" w:rsidRPr="009B12FF" w:rsidRDefault="00881DDC" w:rsidP="00881DDC">
      <w:pPr>
        <w:pStyle w:val="Textoindependiente"/>
        <w:jc w:val="both"/>
        <w:rPr>
          <w:rFonts w:cs="Arial"/>
          <w:color w:val="000000"/>
          <w:szCs w:val="24"/>
        </w:rPr>
      </w:pPr>
    </w:p>
    <w:p w:rsidR="00881DDC" w:rsidRPr="009B12FF" w:rsidRDefault="00881DDC" w:rsidP="001B2FF4">
      <w:pPr>
        <w:pStyle w:val="Textoindependiente"/>
        <w:jc w:val="both"/>
        <w:rPr>
          <w:rFonts w:cs="Arial"/>
          <w:color w:val="000000"/>
          <w:sz w:val="22"/>
          <w:szCs w:val="22"/>
        </w:rPr>
      </w:pPr>
      <w:r w:rsidRPr="009B12FF">
        <w:rPr>
          <w:rFonts w:cs="Arial"/>
          <w:color w:val="000000"/>
          <w:szCs w:val="24"/>
        </w:rPr>
        <w:t xml:space="preserve">Este indicador se relaciona con el objetivo estratégico del programa 2 Objetivo: “Generar y transferir mayores utilidades netas con la finalidad de colaborar con los programas desarrollados por las instituciones y organizaciones de bienestar </w:t>
      </w:r>
      <w:r w:rsidRPr="009B12FF">
        <w:rPr>
          <w:rFonts w:cs="Arial"/>
          <w:color w:val="000000"/>
          <w:sz w:val="22"/>
          <w:szCs w:val="22"/>
        </w:rPr>
        <w:t>social”</w:t>
      </w:r>
      <w:r w:rsidR="00765A81" w:rsidRPr="009B12FF">
        <w:rPr>
          <w:rFonts w:cs="Arial"/>
          <w:color w:val="000000"/>
          <w:sz w:val="22"/>
          <w:szCs w:val="22"/>
        </w:rPr>
        <w:t xml:space="preserve"> </w:t>
      </w:r>
    </w:p>
    <w:p w:rsidR="00881DDC" w:rsidRPr="009B12FF" w:rsidRDefault="00FF2DB9" w:rsidP="001B2FF4">
      <w:pPr>
        <w:pStyle w:val="Textoindependiente"/>
        <w:tabs>
          <w:tab w:val="left" w:pos="1630"/>
        </w:tabs>
        <w:jc w:val="both"/>
        <w:rPr>
          <w:rFonts w:cs="Arial"/>
          <w:color w:val="000000"/>
          <w:sz w:val="22"/>
          <w:szCs w:val="22"/>
        </w:rPr>
      </w:pPr>
      <w:r w:rsidRPr="009B12FF">
        <w:rPr>
          <w:rFonts w:cs="Arial"/>
          <w:color w:val="000000"/>
          <w:sz w:val="22"/>
          <w:szCs w:val="22"/>
        </w:rPr>
        <w:tab/>
      </w:r>
    </w:p>
    <w:p w:rsidR="002305A2" w:rsidRPr="009B12FF" w:rsidRDefault="002305A2" w:rsidP="001B2FF4">
      <w:pPr>
        <w:pStyle w:val="Textoindependiente"/>
        <w:jc w:val="both"/>
        <w:rPr>
          <w:rFonts w:cs="Arial"/>
          <w:color w:val="000000"/>
          <w:sz w:val="22"/>
          <w:szCs w:val="22"/>
        </w:rPr>
      </w:pPr>
      <w:r w:rsidRPr="009B12FF">
        <w:rPr>
          <w:rFonts w:cs="Arial"/>
          <w:color w:val="000000"/>
          <w:sz w:val="22"/>
          <w:szCs w:val="22"/>
        </w:rPr>
        <w:t>Para el cuarto trimestre del 2013  se logró alcanzar el 105.18% del indicador propuesto en la “Matriz de Resultados por Programa (MRP), lo cual nos ubica en “meta cumplida “, lo que representa el 110.72% de cumplimiento, de conformidad con el Presupuesto Extraordinario N°2-2013. Mejorando el comportamiento obtenido durante el tercer trimestre del 2013, que se ubicó en 101%.</w:t>
      </w:r>
    </w:p>
    <w:p w:rsidR="00881DDC" w:rsidRPr="009B12FF" w:rsidRDefault="00881DDC" w:rsidP="001B2FF4">
      <w:pPr>
        <w:pStyle w:val="Textoindependiente"/>
        <w:jc w:val="both"/>
        <w:rPr>
          <w:rFonts w:cs="Arial"/>
          <w:color w:val="000000"/>
          <w:sz w:val="22"/>
          <w:szCs w:val="22"/>
        </w:rPr>
      </w:pPr>
    </w:p>
    <w:p w:rsidR="00A41486" w:rsidRPr="009B12FF" w:rsidRDefault="00A41486" w:rsidP="001B2FF4">
      <w:pPr>
        <w:pStyle w:val="Textoindependiente"/>
        <w:jc w:val="both"/>
        <w:rPr>
          <w:rFonts w:cs="Arial"/>
          <w:sz w:val="22"/>
          <w:szCs w:val="22"/>
        </w:rPr>
      </w:pPr>
      <w:r w:rsidRPr="009B12FF">
        <w:rPr>
          <w:rFonts w:cs="Arial"/>
          <w:color w:val="000000"/>
          <w:sz w:val="22"/>
          <w:szCs w:val="22"/>
        </w:rPr>
        <w:t xml:space="preserve">Cuando se formula el presupuesto de ventas, se analizan todas las variables que pueden incidir en dicha actividad, existen variables exógenas que aunque se reconozcan no se puede predecir su impacto real en la venta de loterías, tales como el comportamiento del consumidor ante la crisis económica que se presentó en el año 2012 y que repercute actualmente en este cuarto trimestre del 2013. Otro factor que incidió en el cumplimiento de la meta de ventas es el cumplimiento del imperativo legal, que obliga a </w:t>
      </w:r>
      <w:smartTag w:uri="urn:schemas-microsoft-com:office:smarttags" w:element="PersonName">
        <w:smartTagPr>
          <w:attr w:name="ProductID" w:val="la Junta"/>
        </w:smartTagPr>
        <w:r w:rsidRPr="009B12FF">
          <w:rPr>
            <w:rFonts w:cs="Arial"/>
            <w:color w:val="000000"/>
            <w:sz w:val="22"/>
            <w:szCs w:val="22"/>
          </w:rPr>
          <w:t>la Junta</w:t>
        </w:r>
      </w:smartTag>
      <w:r w:rsidRPr="009B12FF">
        <w:rPr>
          <w:rFonts w:cs="Arial"/>
          <w:color w:val="000000"/>
          <w:sz w:val="22"/>
          <w:szCs w:val="22"/>
        </w:rPr>
        <w:t xml:space="preserve"> de Protección Social a pensionar a sus adjudicatarios. Asimismo se han presentado una cantidad de renuncias de vendedores de Lotería en este periodo del 2013, lo cual ha afectado nuestras ventas.</w:t>
      </w:r>
    </w:p>
    <w:p w:rsidR="00881DDC" w:rsidRPr="009B12FF" w:rsidRDefault="00881DDC" w:rsidP="001B2FF4">
      <w:pPr>
        <w:jc w:val="both"/>
        <w:rPr>
          <w:rFonts w:ascii="Arial" w:hAnsi="Arial" w:cs="Arial"/>
          <w:b/>
          <w:color w:val="000000"/>
          <w:sz w:val="22"/>
          <w:szCs w:val="22"/>
        </w:rPr>
      </w:pPr>
    </w:p>
    <w:p w:rsidR="00881DDC" w:rsidRPr="009B12FF" w:rsidRDefault="00881DDC" w:rsidP="001B2FF4">
      <w:pPr>
        <w:jc w:val="both"/>
        <w:rPr>
          <w:rFonts w:ascii="Arial" w:hAnsi="Arial" w:cs="Arial"/>
          <w:color w:val="000000"/>
          <w:sz w:val="22"/>
          <w:szCs w:val="22"/>
        </w:rPr>
      </w:pPr>
      <w:r w:rsidRPr="009B12FF">
        <w:rPr>
          <w:rFonts w:ascii="Arial" w:hAnsi="Arial" w:cs="Arial"/>
          <w:b/>
          <w:color w:val="000000"/>
          <w:sz w:val="22"/>
          <w:szCs w:val="22"/>
        </w:rPr>
        <w:t>Aspectos positivos internos</w:t>
      </w:r>
    </w:p>
    <w:p w:rsidR="00881DDC" w:rsidRPr="009B12FF" w:rsidRDefault="00881DDC" w:rsidP="001B2FF4">
      <w:pPr>
        <w:jc w:val="both"/>
        <w:rPr>
          <w:rFonts w:ascii="Arial" w:hAnsi="Arial" w:cs="Arial"/>
          <w:b/>
          <w:color w:val="000000"/>
          <w:sz w:val="22"/>
          <w:szCs w:val="22"/>
          <w:u w:val="single"/>
        </w:rPr>
      </w:pPr>
    </w:p>
    <w:p w:rsidR="00C43F21" w:rsidRPr="009B12FF" w:rsidRDefault="00C43F21" w:rsidP="001B2FF4">
      <w:pPr>
        <w:pStyle w:val="Textoindependiente"/>
        <w:jc w:val="both"/>
        <w:rPr>
          <w:rFonts w:cs="Arial"/>
          <w:color w:val="000000"/>
          <w:sz w:val="22"/>
          <w:szCs w:val="22"/>
        </w:rPr>
      </w:pPr>
      <w:r w:rsidRPr="009B12FF">
        <w:rPr>
          <w:rFonts w:cs="Arial"/>
          <w:color w:val="000000"/>
          <w:sz w:val="22"/>
          <w:szCs w:val="22"/>
        </w:rPr>
        <w:t>Para el cuarto trimestre del 2013 se presentaron aspectos internos positivos, como  el  aumento  en  las ventas efectivas de Lotería  por la cantidad de ¢ 10.901.979.79</w:t>
      </w:r>
      <w:r w:rsidRPr="009B12FF">
        <w:rPr>
          <w:rFonts w:cs="Arial"/>
          <w:sz w:val="22"/>
          <w:szCs w:val="22"/>
        </w:rPr>
        <w:t xml:space="preserve"> </w:t>
      </w:r>
      <w:r w:rsidRPr="009B12FF">
        <w:rPr>
          <w:rFonts w:cs="Arial"/>
          <w:color w:val="000000"/>
          <w:sz w:val="22"/>
          <w:szCs w:val="22"/>
        </w:rPr>
        <w:t>miles de colones, al compararlo con las ventas efectivas para el mismo periodo del 2012, lo que en términos porcentuales representa un aumento del 6.19%.  Los productos que presentaron un mayor crecimiento con respecto al año 2012, fueron los productos electrónicos, denominados “Nuevos Tiempos” y “Lotto”.</w:t>
      </w:r>
    </w:p>
    <w:p w:rsidR="00881DDC" w:rsidRPr="009B12FF" w:rsidRDefault="00881DDC" w:rsidP="001B2FF4">
      <w:pPr>
        <w:pStyle w:val="Textoindependiente"/>
        <w:jc w:val="both"/>
        <w:rPr>
          <w:rFonts w:cs="Arial"/>
          <w:color w:val="000000"/>
          <w:sz w:val="22"/>
          <w:szCs w:val="22"/>
        </w:rPr>
      </w:pPr>
    </w:p>
    <w:p w:rsidR="004E3B03" w:rsidRPr="009B12FF" w:rsidRDefault="004E3B03" w:rsidP="001B2FF4">
      <w:pPr>
        <w:jc w:val="both"/>
        <w:rPr>
          <w:rFonts w:ascii="Arial" w:hAnsi="Arial" w:cs="Arial"/>
          <w:sz w:val="22"/>
          <w:szCs w:val="22"/>
        </w:rPr>
      </w:pPr>
      <w:r w:rsidRPr="009B12FF">
        <w:rPr>
          <w:rFonts w:ascii="Arial" w:hAnsi="Arial" w:cs="Arial"/>
          <w:color w:val="000000"/>
          <w:sz w:val="22"/>
          <w:szCs w:val="22"/>
        </w:rPr>
        <w:t xml:space="preserve">A partir del mes de junio 2013 </w:t>
      </w:r>
      <w:smartTag w:uri="urn:schemas-microsoft-com:office:smarttags" w:element="PersonName">
        <w:smartTagPr>
          <w:attr w:name="ProductID" w:val="la Loter￭a Electr￳nica"/>
        </w:smartTagPr>
        <w:r w:rsidRPr="009B12FF">
          <w:rPr>
            <w:rFonts w:ascii="Arial" w:hAnsi="Arial" w:cs="Arial"/>
            <w:color w:val="000000"/>
            <w:sz w:val="22"/>
            <w:szCs w:val="22"/>
          </w:rPr>
          <w:t>la Lotería Electrónica</w:t>
        </w:r>
      </w:smartTag>
      <w:r w:rsidRPr="009B12FF">
        <w:rPr>
          <w:rFonts w:ascii="Arial" w:hAnsi="Arial" w:cs="Arial"/>
          <w:color w:val="000000"/>
          <w:sz w:val="22"/>
          <w:szCs w:val="22"/>
        </w:rPr>
        <w:t xml:space="preserve"> es operada por </w:t>
      </w:r>
      <w:r w:rsidRPr="009B12FF">
        <w:rPr>
          <w:rFonts w:ascii="Arial" w:hAnsi="Arial" w:cs="Arial"/>
          <w:sz w:val="22"/>
          <w:szCs w:val="22"/>
        </w:rPr>
        <w:t xml:space="preserve">Consorcio Gtech – Boldt Gaming, de conformidad con </w:t>
      </w:r>
      <w:smartTag w:uri="urn:schemas-microsoft-com:office:smarttags" w:element="PersonName">
        <w:smartTagPr>
          <w:attr w:name="ProductID" w:val="la Licitaci￳n P￺blica"/>
        </w:smartTagPr>
        <w:r w:rsidRPr="009B12FF">
          <w:rPr>
            <w:rFonts w:ascii="Arial" w:hAnsi="Arial" w:cs="Arial"/>
            <w:sz w:val="22"/>
            <w:szCs w:val="22"/>
          </w:rPr>
          <w:t>la Licitación Pública</w:t>
        </w:r>
      </w:smartTag>
      <w:r w:rsidRPr="009B12FF">
        <w:rPr>
          <w:rFonts w:ascii="Arial" w:hAnsi="Arial" w:cs="Arial"/>
          <w:sz w:val="22"/>
          <w:szCs w:val="22"/>
        </w:rPr>
        <w:t xml:space="preserve"> No. 2011LN-000002-PROV “Desarrollo, Implementación y Operación de </w:t>
      </w:r>
      <w:smartTag w:uri="urn:schemas-microsoft-com:office:smarttags" w:element="PersonName">
        <w:smartTagPr>
          <w:attr w:name="ProductID" w:val="la Loter￭a Electr￳nica"/>
        </w:smartTagPr>
        <w:r w:rsidRPr="009B12FF">
          <w:rPr>
            <w:rFonts w:ascii="Arial" w:hAnsi="Arial" w:cs="Arial"/>
            <w:sz w:val="22"/>
            <w:szCs w:val="22"/>
          </w:rPr>
          <w:t>la Lotería Electrónica</w:t>
        </w:r>
      </w:smartTag>
      <w:r w:rsidRPr="009B12FF">
        <w:rPr>
          <w:rFonts w:ascii="Arial" w:hAnsi="Arial" w:cs="Arial"/>
          <w:sz w:val="22"/>
          <w:szCs w:val="22"/>
        </w:rPr>
        <w:t xml:space="preserve"> en línea y tiempo real”. La Lotería Tiempos Digitales, se transforma en </w:t>
      </w:r>
      <w:smartTag w:uri="urn:schemas-microsoft-com:office:smarttags" w:element="PersonName">
        <w:smartTagPr>
          <w:attr w:name="ProductID" w:val="la Loter￭a"/>
        </w:smartTagPr>
        <w:r w:rsidRPr="009B12FF">
          <w:rPr>
            <w:rFonts w:ascii="Arial" w:hAnsi="Arial" w:cs="Arial"/>
            <w:sz w:val="22"/>
            <w:szCs w:val="22"/>
          </w:rPr>
          <w:t>la Lotería</w:t>
        </w:r>
      </w:smartTag>
      <w:r w:rsidRPr="009B12FF">
        <w:rPr>
          <w:rFonts w:ascii="Arial" w:hAnsi="Arial" w:cs="Arial"/>
          <w:sz w:val="22"/>
          <w:szCs w:val="22"/>
        </w:rPr>
        <w:t xml:space="preserve"> “Nuevos Tiempos”, con las siguientes innovaciones: Se realizan dos sorteos diarios, el primero a las 12:55 p.m. y el segundo sorteo se efectúa a las 6:55 p.m. de lunes a domingo. Ofrece un llamativo Plan de Premios, el cual le ofrece 4 modalidades de premios; al “Número Exacto” le paga 70 veces el monto invertido; al “Número Reversible” le paga 35 veces el monto invertido; al “Primer Número” le paga 7 veces el monto invertido y al “Último Número o terminación” le paga 7 veces el monto invertido. Cada una de estas modalidades de premio, representa una apuesta independiente.</w:t>
      </w:r>
    </w:p>
    <w:p w:rsidR="004E3B03" w:rsidRPr="009B12FF" w:rsidRDefault="004E3B03" w:rsidP="001B2FF4">
      <w:pPr>
        <w:jc w:val="both"/>
        <w:rPr>
          <w:rFonts w:ascii="Arial" w:hAnsi="Arial" w:cs="Arial"/>
          <w:color w:val="000000"/>
          <w:sz w:val="22"/>
          <w:szCs w:val="22"/>
        </w:rPr>
      </w:pPr>
    </w:p>
    <w:p w:rsidR="004E3B03" w:rsidRPr="009B12FF" w:rsidRDefault="004E3B03" w:rsidP="001B2FF4">
      <w:pPr>
        <w:jc w:val="both"/>
        <w:rPr>
          <w:rFonts w:ascii="Arial" w:hAnsi="Arial" w:cs="Arial"/>
          <w:color w:val="000000"/>
          <w:sz w:val="22"/>
          <w:szCs w:val="22"/>
        </w:rPr>
      </w:pPr>
      <w:r w:rsidRPr="009B12FF">
        <w:rPr>
          <w:rFonts w:ascii="Arial" w:hAnsi="Arial" w:cs="Arial"/>
          <w:color w:val="000000"/>
          <w:sz w:val="22"/>
          <w:szCs w:val="22"/>
        </w:rPr>
        <w:t>El juego “Pega Millones” se transforma en “Lotto”, con la novedad de  acertar 5 aciertos, con una numeración del 01 al 35, pagando a los ganadores de 2, 3, 4 y 5 aciertos, ha ganado gran cantidad de compradores, que han acertado el premio acumulado. En caso de no ser acertado el premio acumulado, aumenta un porcentaje para el próximo sorteo y esta manera mantener el interés de los compradores.</w:t>
      </w:r>
    </w:p>
    <w:p w:rsidR="004E3B03" w:rsidRPr="009B12FF" w:rsidRDefault="004E3B03" w:rsidP="001B2FF4">
      <w:pPr>
        <w:jc w:val="both"/>
        <w:rPr>
          <w:rFonts w:ascii="Arial" w:hAnsi="Arial" w:cs="Arial"/>
          <w:color w:val="000000"/>
          <w:sz w:val="22"/>
          <w:szCs w:val="22"/>
        </w:rPr>
      </w:pPr>
    </w:p>
    <w:p w:rsidR="004E3B03" w:rsidRPr="009B12FF" w:rsidRDefault="004E3B03" w:rsidP="001B2FF4">
      <w:pPr>
        <w:jc w:val="both"/>
        <w:rPr>
          <w:rFonts w:ascii="Arial" w:hAnsi="Arial" w:cs="Arial"/>
          <w:color w:val="000000"/>
          <w:sz w:val="22"/>
          <w:szCs w:val="22"/>
        </w:rPr>
      </w:pPr>
      <w:r w:rsidRPr="009B12FF">
        <w:rPr>
          <w:rFonts w:ascii="Arial" w:hAnsi="Arial" w:cs="Arial"/>
          <w:color w:val="000000"/>
          <w:sz w:val="22"/>
          <w:szCs w:val="22"/>
        </w:rPr>
        <w:t>El juego “Progol”, se convierte en “Pitazo”, donde participan 11 eventos deportivos. Se debe escoger, Local, Visita o Empate, para cada uno de los encuentros. También se puede escoger las tres opciones para un mismo partido, pero c</w:t>
      </w:r>
      <w:r w:rsidRPr="009B12FF">
        <w:rPr>
          <w:rFonts w:ascii="Arial" w:hAnsi="Arial" w:cs="Arial"/>
          <w:sz w:val="22"/>
          <w:szCs w:val="22"/>
        </w:rPr>
        <w:t>ada una de estas modalidades de juego, representa una apuesta independiente</w:t>
      </w:r>
      <w:r w:rsidRPr="009B12FF">
        <w:rPr>
          <w:rFonts w:ascii="Arial" w:hAnsi="Arial" w:cs="Arial"/>
          <w:color w:val="000000"/>
          <w:sz w:val="22"/>
          <w:szCs w:val="22"/>
        </w:rPr>
        <w:t>.  Los consumidores también han mostrado interés en esta modalidad de apuesta.</w:t>
      </w:r>
    </w:p>
    <w:p w:rsidR="004E3B03" w:rsidRPr="009B12FF" w:rsidRDefault="004E3B03" w:rsidP="001B2FF4">
      <w:pPr>
        <w:jc w:val="both"/>
        <w:rPr>
          <w:rFonts w:ascii="Arial" w:hAnsi="Arial" w:cs="Arial"/>
          <w:color w:val="000000"/>
          <w:sz w:val="22"/>
          <w:szCs w:val="22"/>
        </w:rPr>
      </w:pPr>
    </w:p>
    <w:p w:rsidR="004E3B03" w:rsidRPr="009B12FF" w:rsidRDefault="004E3B03" w:rsidP="001B2FF4">
      <w:pPr>
        <w:jc w:val="both"/>
        <w:rPr>
          <w:rFonts w:ascii="Arial" w:hAnsi="Arial" w:cs="Arial"/>
          <w:sz w:val="22"/>
          <w:szCs w:val="22"/>
        </w:rPr>
      </w:pPr>
      <w:r w:rsidRPr="009B12FF">
        <w:rPr>
          <w:rFonts w:ascii="Arial" w:hAnsi="Arial" w:cs="Arial"/>
          <w:sz w:val="22"/>
          <w:szCs w:val="22"/>
        </w:rPr>
        <w:t xml:space="preserve">Se mantiene el programa de </w:t>
      </w:r>
      <w:smartTag w:uri="urn:schemas-microsoft-com:office:smarttags" w:element="PersonName">
        <w:smartTagPr>
          <w:attr w:name="ProductID" w:val="La Rueda"/>
        </w:smartTagPr>
        <w:r w:rsidRPr="009B12FF">
          <w:rPr>
            <w:rFonts w:ascii="Arial" w:hAnsi="Arial" w:cs="Arial"/>
            <w:sz w:val="22"/>
            <w:szCs w:val="22"/>
          </w:rPr>
          <w:t>La Rueda</w:t>
        </w:r>
      </w:smartTag>
      <w:r w:rsidRPr="009B12FF">
        <w:rPr>
          <w:rFonts w:ascii="Arial" w:hAnsi="Arial" w:cs="Arial"/>
          <w:sz w:val="22"/>
          <w:szCs w:val="22"/>
        </w:rPr>
        <w:t xml:space="preserve"> de </w:t>
      </w:r>
      <w:smartTag w:uri="urn:schemas-microsoft-com:office:smarttags" w:element="PersonName">
        <w:smartTagPr>
          <w:attr w:name="ProductID" w:val="la Fortuna"/>
        </w:smartTagPr>
        <w:r w:rsidRPr="009B12FF">
          <w:rPr>
            <w:rFonts w:ascii="Arial" w:hAnsi="Arial" w:cs="Arial"/>
            <w:sz w:val="22"/>
            <w:szCs w:val="22"/>
          </w:rPr>
          <w:t>la Fortuna</w:t>
        </w:r>
      </w:smartTag>
      <w:r w:rsidRPr="009B12FF">
        <w:rPr>
          <w:rFonts w:ascii="Arial" w:hAnsi="Arial" w:cs="Arial"/>
          <w:sz w:val="22"/>
          <w:szCs w:val="22"/>
        </w:rPr>
        <w:t>, con un formato más fresco, modernizando sus elementos técnicos y de producción. Se mantienen los segmentos creados, “Raspa”, “Dado Manía”, “Lotería Nacional”.</w:t>
      </w:r>
    </w:p>
    <w:p w:rsidR="004E3B03" w:rsidRPr="009B12FF" w:rsidRDefault="004E3B03" w:rsidP="001B2FF4">
      <w:pPr>
        <w:jc w:val="both"/>
        <w:rPr>
          <w:rFonts w:ascii="Arial" w:hAnsi="Arial" w:cs="Arial"/>
          <w:b/>
          <w:color w:val="000000"/>
          <w:sz w:val="22"/>
          <w:szCs w:val="22"/>
        </w:rPr>
      </w:pPr>
    </w:p>
    <w:p w:rsidR="004E3B03" w:rsidRPr="009B12FF" w:rsidRDefault="004E3B03" w:rsidP="001B2FF4">
      <w:pPr>
        <w:jc w:val="both"/>
        <w:rPr>
          <w:rFonts w:ascii="Arial" w:hAnsi="Arial" w:cs="Arial"/>
          <w:color w:val="000000"/>
          <w:sz w:val="22"/>
          <w:szCs w:val="22"/>
        </w:rPr>
      </w:pPr>
      <w:r w:rsidRPr="009B12FF">
        <w:rPr>
          <w:rFonts w:ascii="Arial" w:hAnsi="Arial" w:cs="Arial"/>
          <w:color w:val="000000"/>
          <w:sz w:val="22"/>
          <w:szCs w:val="22"/>
        </w:rPr>
        <w:t xml:space="preserve">Se logró colocar varios juegos de Lotería Instantánea con precios de ¢500 y de ¢1.000 el boleto. Los juegos de tiquetes de ¢500 son los que más aceptación tienen entre el público consumidor de loterías. En algunos periodos se pusieron a la venta dos juegos simultáneos, con diferente precio. </w:t>
      </w:r>
    </w:p>
    <w:p w:rsidR="004E3B03" w:rsidRPr="009B12FF" w:rsidRDefault="004E3B03" w:rsidP="001B2FF4">
      <w:pPr>
        <w:jc w:val="both"/>
        <w:rPr>
          <w:rFonts w:ascii="Arial" w:hAnsi="Arial" w:cs="Arial"/>
          <w:color w:val="000000"/>
          <w:sz w:val="22"/>
          <w:szCs w:val="22"/>
        </w:rPr>
      </w:pPr>
    </w:p>
    <w:p w:rsidR="004E3B03" w:rsidRPr="009B12FF" w:rsidRDefault="004E3B03" w:rsidP="001B2FF4">
      <w:pPr>
        <w:jc w:val="both"/>
        <w:rPr>
          <w:rFonts w:ascii="Arial" w:hAnsi="Arial" w:cs="Arial"/>
          <w:color w:val="000000"/>
          <w:sz w:val="22"/>
          <w:szCs w:val="22"/>
        </w:rPr>
      </w:pPr>
      <w:r w:rsidRPr="009B12FF">
        <w:rPr>
          <w:rFonts w:ascii="Arial" w:hAnsi="Arial" w:cs="Arial"/>
          <w:color w:val="000000"/>
          <w:sz w:val="22"/>
          <w:szCs w:val="22"/>
        </w:rPr>
        <w:t xml:space="preserve">También se está en proceso de renovación de la fuerza de ventas, a través de la incorporación de nuevas personas bajo la modalidad del artículo 10, aprovechando la coyuntura que se presentó el año anterior, al pensionarse una cantidad significativa de adjudicatarios de lotería; procurando que los nuevos canales se ubiquen principalmente en aquellas áreas donde no hay restricción para movilizarse, y en donde se requiera una mayor presencia de vendedores. </w:t>
      </w:r>
    </w:p>
    <w:p w:rsidR="004E3B03" w:rsidRPr="009B12FF" w:rsidRDefault="004E3B03" w:rsidP="001B2FF4">
      <w:pPr>
        <w:jc w:val="both"/>
        <w:rPr>
          <w:rFonts w:ascii="Arial" w:hAnsi="Arial" w:cs="Arial"/>
          <w:color w:val="000000"/>
          <w:sz w:val="22"/>
          <w:szCs w:val="22"/>
        </w:rPr>
      </w:pPr>
    </w:p>
    <w:p w:rsidR="004E3B03" w:rsidRPr="009B12FF" w:rsidRDefault="004E3B03" w:rsidP="001B2FF4">
      <w:pPr>
        <w:jc w:val="both"/>
        <w:rPr>
          <w:rFonts w:ascii="Arial" w:hAnsi="Arial" w:cs="Arial"/>
          <w:b/>
          <w:color w:val="000000"/>
          <w:sz w:val="22"/>
          <w:szCs w:val="22"/>
        </w:rPr>
      </w:pPr>
      <w:r w:rsidRPr="009B12FF">
        <w:rPr>
          <w:rFonts w:ascii="Arial" w:hAnsi="Arial" w:cs="Arial"/>
          <w:b/>
          <w:color w:val="000000"/>
          <w:sz w:val="22"/>
          <w:szCs w:val="22"/>
        </w:rPr>
        <w:t>Aspectos negativos internos</w:t>
      </w:r>
    </w:p>
    <w:p w:rsidR="004E3B03" w:rsidRPr="009B12FF" w:rsidRDefault="004E3B03" w:rsidP="001B2FF4">
      <w:pPr>
        <w:jc w:val="both"/>
        <w:rPr>
          <w:rFonts w:ascii="Arial" w:hAnsi="Arial" w:cs="Arial"/>
          <w:b/>
          <w:color w:val="000000"/>
          <w:sz w:val="22"/>
          <w:szCs w:val="22"/>
        </w:rPr>
      </w:pPr>
    </w:p>
    <w:p w:rsidR="004E3B03" w:rsidRPr="009B12FF" w:rsidRDefault="004E3B03" w:rsidP="001B2FF4">
      <w:pPr>
        <w:jc w:val="both"/>
        <w:rPr>
          <w:rFonts w:ascii="Arial" w:hAnsi="Arial" w:cs="Arial"/>
          <w:sz w:val="22"/>
          <w:szCs w:val="22"/>
        </w:rPr>
      </w:pPr>
      <w:r w:rsidRPr="009B12FF">
        <w:rPr>
          <w:rFonts w:ascii="Arial" w:hAnsi="Arial" w:cs="Arial"/>
          <w:color w:val="000000"/>
          <w:sz w:val="22"/>
          <w:szCs w:val="22"/>
        </w:rPr>
        <w:t xml:space="preserve">Dentro de los aspectos negativos internos que se presentaron durante el año 2013, están también  los relacionados con </w:t>
      </w:r>
      <w:r w:rsidRPr="009B12FF">
        <w:rPr>
          <w:rFonts w:ascii="Arial" w:hAnsi="Arial" w:cs="Arial"/>
          <w:sz w:val="22"/>
          <w:szCs w:val="22"/>
        </w:rPr>
        <w:t>la normativa legal y reglamentaria, la cual ha establecido durante muchos años las características de la fuerza de ventas, compuesta en su mayor parte por personas de una edad avanzada, con problemas de salud, lo cual dificulta que puedan desempeñar la venta de lotería en una forma óptima.</w:t>
      </w:r>
    </w:p>
    <w:p w:rsidR="004E3B03" w:rsidRPr="009B12FF" w:rsidRDefault="004E3B03" w:rsidP="001B2FF4">
      <w:pPr>
        <w:jc w:val="both"/>
        <w:rPr>
          <w:rFonts w:ascii="Arial" w:hAnsi="Arial" w:cs="Arial"/>
          <w:sz w:val="22"/>
          <w:szCs w:val="22"/>
        </w:rPr>
      </w:pPr>
    </w:p>
    <w:p w:rsidR="004E3B03" w:rsidRPr="009B12FF" w:rsidRDefault="004E3B03" w:rsidP="001B2FF4">
      <w:pPr>
        <w:jc w:val="both"/>
        <w:rPr>
          <w:rFonts w:ascii="Arial" w:hAnsi="Arial" w:cs="Arial"/>
          <w:sz w:val="22"/>
          <w:szCs w:val="22"/>
        </w:rPr>
      </w:pPr>
      <w:r w:rsidRPr="009B12FF">
        <w:rPr>
          <w:rFonts w:ascii="Arial" w:hAnsi="Arial" w:cs="Arial"/>
          <w:sz w:val="22"/>
          <w:szCs w:val="22"/>
        </w:rPr>
        <w:t xml:space="preserve">Con la aprobación de </w:t>
      </w:r>
      <w:smartTag w:uri="urn:schemas-microsoft-com:office:smarttags" w:element="PersonName">
        <w:smartTagPr>
          <w:attr w:name="ProductID" w:val="la Ley"/>
        </w:smartTagPr>
        <w:r w:rsidRPr="009B12FF">
          <w:rPr>
            <w:rFonts w:ascii="Arial" w:hAnsi="Arial" w:cs="Arial"/>
            <w:sz w:val="22"/>
            <w:szCs w:val="22"/>
          </w:rPr>
          <w:t>la Ley</w:t>
        </w:r>
      </w:smartTag>
      <w:r w:rsidRPr="009B12FF">
        <w:rPr>
          <w:rFonts w:ascii="Arial" w:hAnsi="Arial" w:cs="Arial"/>
          <w:sz w:val="22"/>
          <w:szCs w:val="22"/>
        </w:rPr>
        <w:t xml:space="preserve"> #8718, se crea un fondo de pensión para los adjudicatarios, por lo que a partir del año 2011 </w:t>
      </w:r>
      <w:smartTag w:uri="urn:schemas-microsoft-com:office:smarttags" w:element="PersonName">
        <w:smartTagPr>
          <w:attr w:name="ProductID" w:val="la Junta"/>
        </w:smartTagPr>
        <w:r w:rsidRPr="009B12FF">
          <w:rPr>
            <w:rFonts w:ascii="Arial" w:hAnsi="Arial" w:cs="Arial"/>
            <w:sz w:val="22"/>
            <w:szCs w:val="22"/>
          </w:rPr>
          <w:t>la Junta</w:t>
        </w:r>
      </w:smartTag>
      <w:r w:rsidRPr="009B12FF">
        <w:rPr>
          <w:rFonts w:ascii="Arial" w:hAnsi="Arial" w:cs="Arial"/>
          <w:sz w:val="22"/>
          <w:szCs w:val="22"/>
        </w:rPr>
        <w:t xml:space="preserve"> se ve obligada a pensionar a sus adjudicatarios, reduciendo su fuerza de venta,  lo que va provocando que parte de nuestros productos no salgan al mercado en las cantidades usuales, por la falta de experiencia de muchos vendedores de Lotería  Para contrarrestar esta disminución en la cantidad de adjudicatarios activos, se inició un proceso de reclutamiento de nueva fuerza de ventas, pero ellos requieren de tiempo para crear su nicho de mercado, forjarse una clientela fiel y de esta manera alcanzar y superar las cantidades que anteriormente se colocaban en el mercado. </w:t>
      </w:r>
    </w:p>
    <w:p w:rsidR="004E3B03" w:rsidRPr="009B12FF" w:rsidRDefault="004E3B03" w:rsidP="001B2FF4">
      <w:pPr>
        <w:jc w:val="both"/>
        <w:rPr>
          <w:rFonts w:ascii="Arial" w:hAnsi="Arial" w:cs="Arial"/>
          <w:sz w:val="22"/>
          <w:szCs w:val="22"/>
        </w:rPr>
      </w:pPr>
    </w:p>
    <w:p w:rsidR="004E3B03" w:rsidRPr="009B12FF" w:rsidRDefault="004E3B03" w:rsidP="001B2FF4">
      <w:pPr>
        <w:jc w:val="both"/>
        <w:rPr>
          <w:rFonts w:ascii="Arial" w:hAnsi="Arial" w:cs="Arial"/>
          <w:b/>
          <w:color w:val="000000"/>
          <w:sz w:val="22"/>
          <w:szCs w:val="22"/>
        </w:rPr>
      </w:pPr>
      <w:r w:rsidRPr="009B12FF">
        <w:rPr>
          <w:rFonts w:ascii="Arial" w:hAnsi="Arial" w:cs="Arial"/>
          <w:b/>
          <w:color w:val="000000"/>
          <w:sz w:val="22"/>
          <w:szCs w:val="22"/>
        </w:rPr>
        <w:t>Aspectos negativos externos</w:t>
      </w:r>
    </w:p>
    <w:p w:rsidR="004E3B03" w:rsidRPr="009B12FF" w:rsidRDefault="004E3B03" w:rsidP="001B2FF4">
      <w:pPr>
        <w:jc w:val="both"/>
        <w:rPr>
          <w:rFonts w:ascii="Arial" w:hAnsi="Arial" w:cs="Arial"/>
          <w:color w:val="000000"/>
          <w:sz w:val="22"/>
          <w:szCs w:val="22"/>
          <w:u w:val="single"/>
        </w:rPr>
      </w:pPr>
    </w:p>
    <w:p w:rsidR="004E3B03" w:rsidRPr="009B12FF" w:rsidRDefault="004E3B03" w:rsidP="001B2FF4">
      <w:pPr>
        <w:pStyle w:val="Textoindependiente"/>
        <w:jc w:val="both"/>
        <w:rPr>
          <w:rFonts w:cs="Arial"/>
          <w:color w:val="000000"/>
          <w:sz w:val="22"/>
          <w:szCs w:val="22"/>
        </w:rPr>
      </w:pPr>
      <w:r w:rsidRPr="009B12FF">
        <w:rPr>
          <w:rFonts w:cs="Arial"/>
          <w:color w:val="000000"/>
          <w:sz w:val="22"/>
          <w:szCs w:val="22"/>
        </w:rPr>
        <w:t xml:space="preserve">Referente a los aspectos negativos externos que se presentaron durante 2013, destacan la situación económica que se presentó en años anteriores, además de que las ventas han disminuido en parte porque los consumidores se están presentando apáticos con las compras de lotería Nacional y Lotería Popular, lo cual ha provocado la disminución en las ventas y por consiguiente un aumento en la no colocación de producto, el cual se debe destruir antes de la realización de los sorteos, situación que ha repercutido también en nuestro país, en prácticamente todos los sectores de la economía, la recesión económica que ello ha producido generó problemas de aumento en el desempleo, así como en la dinámica de la economía en general, donde el consumidor optó por reducir su consumo de bienes y servicios, afectando la demanda por nuestro productos. </w:t>
      </w:r>
    </w:p>
    <w:p w:rsidR="004E3B03" w:rsidRPr="009B12FF" w:rsidRDefault="004E3B03" w:rsidP="001B2FF4">
      <w:pPr>
        <w:jc w:val="both"/>
        <w:rPr>
          <w:rFonts w:ascii="Arial" w:hAnsi="Arial" w:cs="Arial"/>
          <w:color w:val="000000"/>
          <w:sz w:val="22"/>
          <w:szCs w:val="22"/>
          <w:lang w:val="es-ES_tradnl"/>
        </w:rPr>
      </w:pPr>
    </w:p>
    <w:p w:rsidR="004E3B03" w:rsidRPr="009B12FF" w:rsidRDefault="004E3B03" w:rsidP="001B2FF4">
      <w:pPr>
        <w:jc w:val="both"/>
        <w:rPr>
          <w:rFonts w:ascii="Arial" w:hAnsi="Arial" w:cs="Arial"/>
          <w:sz w:val="22"/>
          <w:szCs w:val="22"/>
        </w:rPr>
      </w:pPr>
      <w:r w:rsidRPr="009B12FF">
        <w:rPr>
          <w:rFonts w:ascii="Arial" w:hAnsi="Arial" w:cs="Arial"/>
          <w:sz w:val="22"/>
          <w:szCs w:val="22"/>
        </w:rPr>
        <w:t xml:space="preserve">También podemos citar los problemas de la delincuencia que sufren muchos de nuestros vendedores y que lamentablemente van en aumento, lo cual les produce pérdidas económicas que les limitan su accionar.  No podemos dejar de mencionar las medidas restrictivas para permitir el desarrollo de la venta de la lotería en los centros de las ciudades por parte de algunos Ayuntamientos, principalmente </w:t>
      </w:r>
      <w:smartTag w:uri="urn:schemas-microsoft-com:office:smarttags" w:element="PersonName">
        <w:smartTagPr>
          <w:attr w:name="ProductID" w:val="la Municipalidad"/>
        </w:smartTagPr>
        <w:r w:rsidRPr="009B12FF">
          <w:rPr>
            <w:rFonts w:ascii="Arial" w:hAnsi="Arial" w:cs="Arial"/>
            <w:sz w:val="22"/>
            <w:szCs w:val="22"/>
          </w:rPr>
          <w:t>la Municipalidad</w:t>
        </w:r>
      </w:smartTag>
      <w:r w:rsidRPr="009B12FF">
        <w:rPr>
          <w:rFonts w:ascii="Arial" w:hAnsi="Arial" w:cs="Arial"/>
          <w:sz w:val="22"/>
          <w:szCs w:val="22"/>
        </w:rPr>
        <w:t xml:space="preserve"> de San José, lo cual también les dificulta a las personas desarrollar su actividad comercial. Asimismo, el Ministerio de Hacienda les está obligando al pago de los impuestos correspondientes a las ganancias que obtienen sobre las ventas de lotería.  Muchas de estas personas han optado entonces por renunciar a sus cuotas de loterías o bien no retirar la cuota, lo que ocasiona efectuar trámites de cancelación de cuotas.</w:t>
      </w:r>
    </w:p>
    <w:p w:rsidR="004E3B03" w:rsidRPr="009B12FF" w:rsidRDefault="004E3B03" w:rsidP="001B2FF4">
      <w:pPr>
        <w:jc w:val="both"/>
        <w:rPr>
          <w:rFonts w:ascii="Arial" w:hAnsi="Arial" w:cs="Arial"/>
          <w:color w:val="000000"/>
          <w:sz w:val="22"/>
          <w:szCs w:val="22"/>
        </w:rPr>
      </w:pPr>
    </w:p>
    <w:p w:rsidR="004E3B03" w:rsidRPr="009B12FF" w:rsidRDefault="004E3B03" w:rsidP="001B2FF4">
      <w:pPr>
        <w:jc w:val="both"/>
        <w:rPr>
          <w:rFonts w:ascii="Arial" w:hAnsi="Arial" w:cs="Arial"/>
          <w:color w:val="000000"/>
          <w:sz w:val="22"/>
          <w:szCs w:val="22"/>
        </w:rPr>
      </w:pPr>
      <w:r w:rsidRPr="009B12FF">
        <w:rPr>
          <w:rFonts w:ascii="Arial" w:hAnsi="Arial" w:cs="Arial"/>
          <w:color w:val="000000"/>
          <w:sz w:val="22"/>
          <w:szCs w:val="22"/>
        </w:rPr>
        <w:t xml:space="preserve">Asimismo,  la competencia ilegal obtiene su participación de mercado restando parte del ingreso disponible del consumidor para juego y entretenimiento. </w:t>
      </w:r>
    </w:p>
    <w:p w:rsidR="004E3B03" w:rsidRPr="009B12FF" w:rsidRDefault="004E3B03" w:rsidP="001B2FF4">
      <w:pPr>
        <w:jc w:val="both"/>
        <w:rPr>
          <w:rFonts w:ascii="Arial" w:hAnsi="Arial" w:cs="Arial"/>
          <w:color w:val="000000"/>
          <w:sz w:val="22"/>
          <w:szCs w:val="22"/>
        </w:rPr>
      </w:pPr>
    </w:p>
    <w:p w:rsidR="004E3B03" w:rsidRPr="009B12FF" w:rsidRDefault="004E3B03" w:rsidP="001B2FF4">
      <w:pPr>
        <w:jc w:val="both"/>
        <w:rPr>
          <w:rFonts w:ascii="Arial" w:hAnsi="Arial" w:cs="Arial"/>
          <w:sz w:val="22"/>
          <w:szCs w:val="22"/>
        </w:rPr>
      </w:pPr>
      <w:r w:rsidRPr="009B12FF">
        <w:rPr>
          <w:rFonts w:ascii="Arial" w:hAnsi="Arial" w:cs="Arial"/>
          <w:sz w:val="22"/>
          <w:szCs w:val="22"/>
        </w:rPr>
        <w:t>Uno  de los aspectos más relevantes que se presentó específicamente en el tercer trimestre del año 2013 y que provocó una baja muy importante en colocación de la Lotería Nacional, Lotería Popular y Tiempos impresos, lo constituyó la huelga de los vendedores de Lotería, que se presentó a partir del Lunes  19 de Agosto  y finalizó el Jueves 22 de Agosto, tras un acuerdo firmado por miembros de la Junta de Protección Social, la ANEP, sus seccionales y los representantes de los vendedores de Lotería.</w:t>
      </w:r>
    </w:p>
    <w:p w:rsidR="004E3B03" w:rsidRPr="009B12FF" w:rsidRDefault="004E3B03" w:rsidP="001B2FF4">
      <w:pPr>
        <w:jc w:val="both"/>
        <w:rPr>
          <w:rFonts w:ascii="Arial" w:hAnsi="Arial" w:cs="Arial"/>
          <w:sz w:val="22"/>
          <w:szCs w:val="22"/>
        </w:rPr>
      </w:pPr>
    </w:p>
    <w:p w:rsidR="004E3B03" w:rsidRPr="009B12FF" w:rsidRDefault="004E3B03" w:rsidP="001B2FF4">
      <w:pPr>
        <w:jc w:val="both"/>
        <w:rPr>
          <w:rFonts w:ascii="Arial" w:hAnsi="Arial" w:cs="Arial"/>
          <w:sz w:val="22"/>
          <w:szCs w:val="22"/>
        </w:rPr>
      </w:pPr>
      <w:r w:rsidRPr="009B12FF">
        <w:rPr>
          <w:rFonts w:ascii="Arial" w:hAnsi="Arial" w:cs="Arial"/>
          <w:sz w:val="22"/>
          <w:szCs w:val="22"/>
        </w:rPr>
        <w:t>Esta situación ocasionó un incremento en el  no retiro de la mercadería,  por parte de los vendedores de lotería, ya que existía mucha incertidumbre en relación al retiro, amenazas a los adjudicatarios  que retiraban y comentarios negativos,  llegaron a distorsionar la información y provocó también la destrucción por no retiro de cantidades mayores a las que normalmente se destruye o se deja de vender.</w:t>
      </w:r>
    </w:p>
    <w:p w:rsidR="004E3B03" w:rsidRPr="009B12FF" w:rsidRDefault="004E3B03" w:rsidP="001B2FF4">
      <w:pPr>
        <w:jc w:val="both"/>
        <w:rPr>
          <w:rFonts w:ascii="Arial" w:hAnsi="Arial" w:cs="Arial"/>
          <w:sz w:val="22"/>
          <w:szCs w:val="22"/>
        </w:rPr>
      </w:pPr>
    </w:p>
    <w:p w:rsidR="004E3B03" w:rsidRPr="009B12FF" w:rsidRDefault="004E3B03" w:rsidP="001B2FF4">
      <w:pPr>
        <w:jc w:val="both"/>
        <w:rPr>
          <w:rFonts w:ascii="Arial" w:hAnsi="Arial" w:cs="Arial"/>
          <w:sz w:val="22"/>
          <w:szCs w:val="22"/>
        </w:rPr>
      </w:pPr>
      <w:r w:rsidRPr="009B12FF">
        <w:rPr>
          <w:rFonts w:ascii="Arial" w:hAnsi="Arial" w:cs="Arial"/>
          <w:sz w:val="22"/>
          <w:szCs w:val="22"/>
        </w:rPr>
        <w:t>Dentro de las peticiones formuladas por los vendedores de lotería solicitaban la renuncia de la Junta Directiva y los Gerentes de Área, modificación de planes de premios y precios, incremento de las ganancias de los vendedores, modificación del Decreto Ejecutivo No. 36595-MTSS, promulgado en el año 2011, incentivos a los vendedores, edad idónea y cantidad de aportaciones para acceder al beneficio de la pensión, campaña para demostrar mayores oportunidades de ganar con los números bajos, mantener la política de devolución al 100% sin control de series, de acuerdo al comportamiento de oferta y demanda en el mercado, análisis del contrato firmado con Promovil .</w:t>
      </w:r>
    </w:p>
    <w:p w:rsidR="004E3B03" w:rsidRPr="009B12FF" w:rsidRDefault="004E3B03" w:rsidP="001B2FF4">
      <w:pPr>
        <w:rPr>
          <w:rFonts w:ascii="Arial" w:hAnsi="Arial" w:cs="Arial"/>
          <w:sz w:val="22"/>
          <w:szCs w:val="22"/>
        </w:rPr>
      </w:pPr>
    </w:p>
    <w:p w:rsidR="004E3B03" w:rsidRPr="009B12FF" w:rsidRDefault="004E3B03" w:rsidP="001B2FF4">
      <w:pPr>
        <w:jc w:val="both"/>
        <w:rPr>
          <w:rFonts w:ascii="Arial" w:hAnsi="Arial" w:cs="Arial"/>
          <w:b/>
          <w:color w:val="000000"/>
          <w:sz w:val="22"/>
          <w:szCs w:val="22"/>
        </w:rPr>
      </w:pPr>
      <w:r w:rsidRPr="009B12FF">
        <w:rPr>
          <w:rFonts w:ascii="Arial" w:hAnsi="Arial" w:cs="Arial"/>
          <w:b/>
          <w:color w:val="000000"/>
          <w:sz w:val="22"/>
          <w:szCs w:val="22"/>
        </w:rPr>
        <w:t>Medidas correctivas</w:t>
      </w:r>
    </w:p>
    <w:p w:rsidR="004E3B03" w:rsidRPr="009B12FF" w:rsidRDefault="004E3B03" w:rsidP="001B2FF4">
      <w:pPr>
        <w:jc w:val="both"/>
        <w:rPr>
          <w:rFonts w:ascii="Arial" w:hAnsi="Arial" w:cs="Arial"/>
          <w:b/>
          <w:color w:val="000000"/>
          <w:sz w:val="22"/>
          <w:szCs w:val="22"/>
        </w:rPr>
      </w:pPr>
    </w:p>
    <w:p w:rsidR="004E3B03" w:rsidRPr="009B12FF" w:rsidRDefault="004E3B03" w:rsidP="001B2FF4">
      <w:pPr>
        <w:jc w:val="both"/>
        <w:rPr>
          <w:rFonts w:ascii="Arial" w:hAnsi="Arial" w:cs="Arial"/>
          <w:color w:val="000000"/>
          <w:sz w:val="22"/>
          <w:szCs w:val="22"/>
        </w:rPr>
      </w:pPr>
      <w:r w:rsidRPr="009B12FF">
        <w:rPr>
          <w:rFonts w:ascii="Arial" w:hAnsi="Arial" w:cs="Arial"/>
          <w:color w:val="000000"/>
          <w:sz w:val="22"/>
          <w:szCs w:val="22"/>
        </w:rPr>
        <w:t>Con el propósito de hacer frente a las condiciones macroeconómicas imperantes durante el año 2013, se desarrollaron diferentes estrategias, tales como otorgar incentivos a los consumidores, programado a partir del Martes 6 de Agosto, el sorteo de los números bajos del 01 al 50, durante todos lo martes hasta el Martes 3 de diciembre, también es este período se aprueba para todos los sorteos de la lotería Popular de martes la entrega de 40 enteros de Lotería Navideña y para los Viernes la entrega de 20 enteros de Lotería Navideña.</w:t>
      </w:r>
    </w:p>
    <w:p w:rsidR="004E3B03" w:rsidRPr="009B12FF" w:rsidRDefault="004E3B03" w:rsidP="001B2FF4">
      <w:pPr>
        <w:jc w:val="both"/>
        <w:rPr>
          <w:rFonts w:ascii="Arial" w:hAnsi="Arial" w:cs="Arial"/>
          <w:color w:val="000000"/>
          <w:sz w:val="22"/>
          <w:szCs w:val="22"/>
        </w:rPr>
      </w:pPr>
    </w:p>
    <w:p w:rsidR="004E3B03" w:rsidRPr="009B12FF" w:rsidRDefault="004E3B03" w:rsidP="001B2FF4">
      <w:pPr>
        <w:jc w:val="both"/>
        <w:rPr>
          <w:rFonts w:ascii="Arial" w:hAnsi="Arial" w:cs="Arial"/>
          <w:sz w:val="22"/>
          <w:szCs w:val="22"/>
        </w:rPr>
      </w:pPr>
      <w:r w:rsidRPr="009B12FF">
        <w:rPr>
          <w:rFonts w:ascii="Arial" w:hAnsi="Arial" w:cs="Arial"/>
          <w:color w:val="000000"/>
          <w:sz w:val="22"/>
          <w:szCs w:val="22"/>
        </w:rPr>
        <w:t>Para la lotería Nacional, se sigue incrementando el premio acumulado, se acumulan ¢2.5 millones de colones por emisión para el próximo sorteo ordinario de la Lotería Nacional, cuando el premio no es acertado. Esto hace que los sorteos de Lotería Nacional, sean más atractivos para el consumidor.</w:t>
      </w:r>
    </w:p>
    <w:p w:rsidR="004E3B03" w:rsidRPr="009B12FF" w:rsidRDefault="004E3B03" w:rsidP="001B2FF4">
      <w:pPr>
        <w:jc w:val="both"/>
        <w:rPr>
          <w:rFonts w:ascii="Arial" w:hAnsi="Arial" w:cs="Arial"/>
          <w:color w:val="000000"/>
          <w:sz w:val="22"/>
          <w:szCs w:val="22"/>
        </w:rPr>
      </w:pPr>
    </w:p>
    <w:p w:rsidR="004E3B03" w:rsidRPr="009B12FF" w:rsidRDefault="004E3B03" w:rsidP="001B2FF4">
      <w:pPr>
        <w:jc w:val="both"/>
        <w:rPr>
          <w:rFonts w:ascii="Arial" w:hAnsi="Arial" w:cs="Arial"/>
          <w:sz w:val="22"/>
          <w:szCs w:val="22"/>
        </w:rPr>
      </w:pPr>
      <w:r w:rsidRPr="009B12FF">
        <w:rPr>
          <w:rFonts w:ascii="Arial" w:hAnsi="Arial" w:cs="Arial"/>
          <w:color w:val="000000"/>
          <w:sz w:val="22"/>
          <w:szCs w:val="22"/>
        </w:rPr>
        <w:t xml:space="preserve">Se mantiene en la Lotería Popular ordinarios y extraordinarios, los  dos premios adicionales de ¢1.500.000 cada uno por emisión. </w:t>
      </w:r>
    </w:p>
    <w:p w:rsidR="004E3B03" w:rsidRPr="009B12FF" w:rsidRDefault="004E3B03" w:rsidP="001B2FF4">
      <w:pPr>
        <w:jc w:val="both"/>
        <w:rPr>
          <w:rFonts w:ascii="Arial" w:hAnsi="Arial" w:cs="Arial"/>
          <w:b/>
          <w:color w:val="000000"/>
          <w:sz w:val="22"/>
          <w:szCs w:val="22"/>
          <w:u w:val="single"/>
        </w:rPr>
      </w:pPr>
    </w:p>
    <w:p w:rsidR="004E3B03" w:rsidRPr="009B12FF" w:rsidRDefault="004E3B03" w:rsidP="001B2FF4">
      <w:pPr>
        <w:jc w:val="both"/>
        <w:rPr>
          <w:rFonts w:ascii="Arial" w:hAnsi="Arial" w:cs="Arial"/>
          <w:sz w:val="22"/>
          <w:szCs w:val="22"/>
        </w:rPr>
      </w:pPr>
      <w:r w:rsidRPr="009B12FF">
        <w:rPr>
          <w:rFonts w:ascii="Arial" w:hAnsi="Arial" w:cs="Arial"/>
          <w:sz w:val="22"/>
          <w:szCs w:val="22"/>
        </w:rPr>
        <w:t xml:space="preserve">Se mantiene el programa de </w:t>
      </w:r>
      <w:smartTag w:uri="urn:schemas-microsoft-com:office:smarttags" w:element="PersonName">
        <w:smartTagPr>
          <w:attr w:name="ProductID" w:val="La Rueda"/>
        </w:smartTagPr>
        <w:r w:rsidRPr="009B12FF">
          <w:rPr>
            <w:rFonts w:ascii="Arial" w:hAnsi="Arial" w:cs="Arial"/>
            <w:sz w:val="22"/>
            <w:szCs w:val="22"/>
          </w:rPr>
          <w:t>La Rueda</w:t>
        </w:r>
      </w:smartTag>
      <w:r w:rsidRPr="009B12FF">
        <w:rPr>
          <w:rFonts w:ascii="Arial" w:hAnsi="Arial" w:cs="Arial"/>
          <w:sz w:val="22"/>
          <w:szCs w:val="22"/>
        </w:rPr>
        <w:t xml:space="preserve"> de </w:t>
      </w:r>
      <w:smartTag w:uri="urn:schemas-microsoft-com:office:smarttags" w:element="PersonName">
        <w:smartTagPr>
          <w:attr w:name="ProductID" w:val="la Fortuna"/>
        </w:smartTagPr>
        <w:r w:rsidRPr="009B12FF">
          <w:rPr>
            <w:rFonts w:ascii="Arial" w:hAnsi="Arial" w:cs="Arial"/>
            <w:sz w:val="22"/>
            <w:szCs w:val="22"/>
          </w:rPr>
          <w:t>la Fortuna</w:t>
        </w:r>
      </w:smartTag>
      <w:r w:rsidRPr="009B12FF">
        <w:rPr>
          <w:rFonts w:ascii="Arial" w:hAnsi="Arial" w:cs="Arial"/>
          <w:sz w:val="22"/>
          <w:szCs w:val="22"/>
        </w:rPr>
        <w:t>, con un formato más fresco, modernizando sus elementos técnicos y de producción. Se mantienen los segmentos creados, denominados “Raspa”, “Dado Manía”, “Lotería Nacional”.</w:t>
      </w:r>
    </w:p>
    <w:p w:rsidR="004E3B03" w:rsidRPr="009B12FF" w:rsidRDefault="004E3B03" w:rsidP="001B2FF4">
      <w:pPr>
        <w:jc w:val="both"/>
        <w:rPr>
          <w:rFonts w:ascii="Arial" w:hAnsi="Arial" w:cs="Arial"/>
          <w:sz w:val="22"/>
          <w:szCs w:val="22"/>
        </w:rPr>
      </w:pPr>
    </w:p>
    <w:p w:rsidR="004E3B03" w:rsidRPr="009B12FF" w:rsidRDefault="004E3B03" w:rsidP="001B2FF4">
      <w:pPr>
        <w:jc w:val="both"/>
        <w:rPr>
          <w:rFonts w:ascii="Arial" w:hAnsi="Arial" w:cs="Arial"/>
          <w:sz w:val="22"/>
          <w:szCs w:val="22"/>
        </w:rPr>
      </w:pPr>
      <w:r w:rsidRPr="009B12FF">
        <w:rPr>
          <w:rFonts w:ascii="Arial" w:hAnsi="Arial" w:cs="Arial"/>
          <w:sz w:val="22"/>
          <w:szCs w:val="22"/>
        </w:rPr>
        <w:t>A partir del mes junio del 2013, el Juego de Pega Millones se transforma en “Lotto”; el cual también ofrece un premio acumulado, que se va aumentando en cada sorteo, que no es acertado.</w:t>
      </w:r>
    </w:p>
    <w:p w:rsidR="004E3B03" w:rsidRPr="009B12FF" w:rsidRDefault="004E3B03" w:rsidP="001B2FF4">
      <w:pPr>
        <w:jc w:val="both"/>
        <w:rPr>
          <w:rFonts w:ascii="Arial" w:hAnsi="Arial" w:cs="Arial"/>
          <w:sz w:val="22"/>
          <w:szCs w:val="22"/>
        </w:rPr>
      </w:pPr>
    </w:p>
    <w:p w:rsidR="004E3B03" w:rsidRPr="009B12FF" w:rsidRDefault="004E3B03" w:rsidP="001B2FF4">
      <w:pPr>
        <w:jc w:val="both"/>
        <w:rPr>
          <w:rFonts w:ascii="Arial" w:hAnsi="Arial" w:cs="Arial"/>
          <w:color w:val="000000"/>
          <w:sz w:val="22"/>
          <w:szCs w:val="22"/>
        </w:rPr>
      </w:pPr>
      <w:r w:rsidRPr="009B12FF">
        <w:rPr>
          <w:rFonts w:ascii="Arial" w:hAnsi="Arial" w:cs="Arial"/>
          <w:color w:val="000000"/>
          <w:sz w:val="22"/>
          <w:szCs w:val="22"/>
        </w:rPr>
        <w:t xml:space="preserve">También se está en proceso de renovación de la fuerza de ventas, a través de la incorporación de nuevas personas bajo la modalidad del artículo 10, aprovechando la coyuntura que se presenta también durante este año, durante el cual se siguen pensionando los adjudicatarios de lotería; procurando que los nuevos canales se ubiquen principalmente en aquellas áreas donde no hay restricción para movilizarse, y en donde se requiera una mayor presencia de vendedores. </w:t>
      </w:r>
    </w:p>
    <w:p w:rsidR="00C845B0" w:rsidRPr="009B12FF" w:rsidRDefault="00C845B0" w:rsidP="001B2FF4">
      <w:pPr>
        <w:pStyle w:val="Textoindependiente"/>
        <w:jc w:val="both"/>
        <w:rPr>
          <w:rFonts w:cs="Arial"/>
          <w:color w:val="000000"/>
          <w:sz w:val="22"/>
          <w:szCs w:val="22"/>
          <w:lang w:val="es-ES"/>
        </w:rPr>
      </w:pPr>
    </w:p>
    <w:p w:rsidR="00881DDC" w:rsidRPr="009B12FF" w:rsidRDefault="00881DDC" w:rsidP="001B2FF4">
      <w:pPr>
        <w:pStyle w:val="Textoindependiente"/>
        <w:jc w:val="both"/>
        <w:rPr>
          <w:rFonts w:cs="Arial"/>
          <w:b/>
          <w:color w:val="000000"/>
          <w:sz w:val="22"/>
          <w:szCs w:val="22"/>
          <w:lang w:val="es-ES"/>
        </w:rPr>
      </w:pPr>
      <w:r w:rsidRPr="009B12FF">
        <w:rPr>
          <w:rFonts w:cs="Arial"/>
          <w:b/>
          <w:color w:val="000000"/>
          <w:sz w:val="22"/>
          <w:szCs w:val="22"/>
          <w:lang w:val="es-ES"/>
        </w:rPr>
        <w:t>Indicador Nº 2</w:t>
      </w:r>
    </w:p>
    <w:p w:rsidR="00881DDC" w:rsidRPr="009B12FF" w:rsidRDefault="00881DDC" w:rsidP="001B2FF4">
      <w:pPr>
        <w:pStyle w:val="Textoindependiente"/>
        <w:jc w:val="both"/>
        <w:rPr>
          <w:rFonts w:cs="Arial"/>
          <w:b/>
          <w:color w:val="000000"/>
          <w:sz w:val="22"/>
          <w:szCs w:val="22"/>
          <w:lang w:val="es-ES"/>
        </w:rPr>
      </w:pPr>
    </w:p>
    <w:p w:rsidR="00881DDC" w:rsidRPr="009B12FF" w:rsidRDefault="00881DDC" w:rsidP="001B2FF4">
      <w:pPr>
        <w:pStyle w:val="Textoindependiente"/>
        <w:jc w:val="both"/>
        <w:rPr>
          <w:rFonts w:cs="Arial"/>
          <w:b/>
          <w:color w:val="000000"/>
          <w:sz w:val="22"/>
          <w:szCs w:val="22"/>
        </w:rPr>
      </w:pPr>
      <w:r w:rsidRPr="009B12FF">
        <w:rPr>
          <w:rFonts w:cs="Arial"/>
          <w:b/>
          <w:color w:val="000000"/>
          <w:sz w:val="22"/>
          <w:szCs w:val="22"/>
        </w:rPr>
        <w:t>Porcentaje de variación de las ventas efectivas</w:t>
      </w:r>
      <w:r w:rsidRPr="009B12FF">
        <w:rPr>
          <w:rStyle w:val="Refdenotaalpie"/>
          <w:rFonts w:cs="Arial"/>
          <w:b/>
          <w:color w:val="000000"/>
          <w:sz w:val="22"/>
          <w:szCs w:val="22"/>
        </w:rPr>
        <w:footnoteReference w:id="2"/>
      </w:r>
      <w:r w:rsidRPr="009B12FF">
        <w:rPr>
          <w:rFonts w:cs="Arial"/>
          <w:b/>
          <w:color w:val="000000"/>
          <w:sz w:val="22"/>
          <w:szCs w:val="22"/>
        </w:rPr>
        <w:t xml:space="preserve"> de lotería respecto a las ventas efectivas del periodo anterior.”.</w:t>
      </w:r>
    </w:p>
    <w:p w:rsidR="00881DDC" w:rsidRPr="009B12FF" w:rsidRDefault="00881DDC" w:rsidP="001B2FF4">
      <w:pPr>
        <w:pStyle w:val="Textoindependiente"/>
        <w:jc w:val="both"/>
        <w:rPr>
          <w:rFonts w:cs="Arial"/>
          <w:b/>
          <w:color w:val="000000"/>
          <w:sz w:val="22"/>
          <w:szCs w:val="22"/>
        </w:rPr>
      </w:pPr>
    </w:p>
    <w:tbl>
      <w:tblPr>
        <w:tblW w:w="8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36"/>
        <w:gridCol w:w="850"/>
        <w:gridCol w:w="1701"/>
        <w:gridCol w:w="1826"/>
      </w:tblGrid>
      <w:tr w:rsidR="00881DDC" w:rsidRPr="009B12FF" w:rsidTr="006F7A01">
        <w:trPr>
          <w:jc w:val="center"/>
        </w:trPr>
        <w:tc>
          <w:tcPr>
            <w:tcW w:w="4236" w:type="dxa"/>
            <w:vAlign w:val="center"/>
          </w:tcPr>
          <w:p w:rsidR="00881DDC" w:rsidRPr="009B12FF" w:rsidRDefault="00881DDC" w:rsidP="001B2FF4">
            <w:pPr>
              <w:jc w:val="center"/>
              <w:rPr>
                <w:rFonts w:ascii="Arial" w:hAnsi="Arial" w:cs="Arial"/>
                <w:b/>
                <w:sz w:val="22"/>
                <w:szCs w:val="22"/>
              </w:rPr>
            </w:pPr>
            <w:r w:rsidRPr="009B12FF">
              <w:rPr>
                <w:rFonts w:ascii="Arial" w:hAnsi="Arial" w:cs="Arial"/>
                <w:b/>
                <w:sz w:val="22"/>
                <w:szCs w:val="22"/>
              </w:rPr>
              <w:t>Fórmula del Indicador</w:t>
            </w:r>
          </w:p>
        </w:tc>
        <w:tc>
          <w:tcPr>
            <w:tcW w:w="850" w:type="dxa"/>
            <w:vAlign w:val="center"/>
          </w:tcPr>
          <w:p w:rsidR="00881DDC" w:rsidRPr="009B12FF" w:rsidRDefault="00881DDC" w:rsidP="001B2FF4">
            <w:pPr>
              <w:jc w:val="center"/>
              <w:rPr>
                <w:rFonts w:ascii="Arial" w:hAnsi="Arial" w:cs="Arial"/>
                <w:b/>
                <w:sz w:val="22"/>
                <w:szCs w:val="22"/>
              </w:rPr>
            </w:pPr>
            <w:r w:rsidRPr="009B12FF">
              <w:rPr>
                <w:rFonts w:ascii="Arial" w:hAnsi="Arial" w:cs="Arial"/>
                <w:b/>
                <w:sz w:val="22"/>
                <w:szCs w:val="22"/>
              </w:rPr>
              <w:t>Meta</w:t>
            </w:r>
          </w:p>
        </w:tc>
        <w:tc>
          <w:tcPr>
            <w:tcW w:w="1701" w:type="dxa"/>
            <w:vAlign w:val="center"/>
          </w:tcPr>
          <w:p w:rsidR="00881DDC" w:rsidRPr="009B12FF" w:rsidRDefault="00881DDC" w:rsidP="001B2FF4">
            <w:pPr>
              <w:jc w:val="center"/>
              <w:rPr>
                <w:rFonts w:ascii="Arial" w:hAnsi="Arial" w:cs="Arial"/>
                <w:b/>
                <w:sz w:val="22"/>
                <w:szCs w:val="22"/>
              </w:rPr>
            </w:pPr>
            <w:r w:rsidRPr="009B12FF">
              <w:rPr>
                <w:rFonts w:ascii="Arial" w:hAnsi="Arial" w:cs="Arial"/>
                <w:b/>
                <w:sz w:val="22"/>
                <w:szCs w:val="22"/>
              </w:rPr>
              <w:t>Real alcanzado</w:t>
            </w:r>
          </w:p>
        </w:tc>
        <w:tc>
          <w:tcPr>
            <w:tcW w:w="1826" w:type="dxa"/>
          </w:tcPr>
          <w:p w:rsidR="00881DDC" w:rsidRPr="009B12FF" w:rsidRDefault="00881DDC" w:rsidP="001B2FF4">
            <w:pPr>
              <w:jc w:val="center"/>
              <w:rPr>
                <w:rFonts w:ascii="Arial" w:hAnsi="Arial" w:cs="Arial"/>
                <w:b/>
                <w:sz w:val="22"/>
                <w:szCs w:val="22"/>
              </w:rPr>
            </w:pPr>
            <w:r w:rsidRPr="009B12FF">
              <w:rPr>
                <w:rFonts w:ascii="Arial" w:hAnsi="Arial" w:cs="Arial"/>
                <w:b/>
                <w:sz w:val="22"/>
                <w:szCs w:val="22"/>
              </w:rPr>
              <w:t>% Cumplimiento</w:t>
            </w:r>
          </w:p>
        </w:tc>
      </w:tr>
      <w:tr w:rsidR="00881DDC" w:rsidRPr="009B12FF" w:rsidTr="006F7A01">
        <w:trPr>
          <w:jc w:val="center"/>
        </w:trPr>
        <w:tc>
          <w:tcPr>
            <w:tcW w:w="4236" w:type="dxa"/>
            <w:vAlign w:val="center"/>
          </w:tcPr>
          <w:p w:rsidR="00881DDC" w:rsidRPr="009B12FF" w:rsidRDefault="003C6A12" w:rsidP="001B2FF4">
            <w:pPr>
              <w:rPr>
                <w:rFonts w:ascii="Arial" w:hAnsi="Arial" w:cs="Arial"/>
                <w:sz w:val="22"/>
                <w:szCs w:val="22"/>
              </w:rPr>
            </w:pPr>
            <w:r w:rsidRPr="009B12FF">
              <w:rPr>
                <w:rFonts w:ascii="Arial" w:hAnsi="Arial" w:cs="Arial"/>
                <w:sz w:val="22"/>
                <w:szCs w:val="22"/>
              </w:rPr>
              <w:t>Venta efectiva 2013/Venta efectiva 2012</w:t>
            </w:r>
          </w:p>
        </w:tc>
        <w:tc>
          <w:tcPr>
            <w:tcW w:w="850" w:type="dxa"/>
            <w:vAlign w:val="center"/>
          </w:tcPr>
          <w:p w:rsidR="00881DDC" w:rsidRPr="009B12FF" w:rsidRDefault="00F62DAB" w:rsidP="001B2FF4">
            <w:pPr>
              <w:jc w:val="center"/>
              <w:rPr>
                <w:rFonts w:ascii="Arial" w:hAnsi="Arial" w:cs="Arial"/>
                <w:sz w:val="22"/>
                <w:szCs w:val="22"/>
              </w:rPr>
            </w:pPr>
            <w:r w:rsidRPr="009B12FF">
              <w:rPr>
                <w:rFonts w:ascii="Arial" w:hAnsi="Arial" w:cs="Arial"/>
                <w:sz w:val="22"/>
                <w:szCs w:val="22"/>
              </w:rPr>
              <w:t>1.0</w:t>
            </w:r>
            <w:r w:rsidR="00881DDC" w:rsidRPr="009B12FF">
              <w:rPr>
                <w:rFonts w:ascii="Arial" w:hAnsi="Arial" w:cs="Arial"/>
                <w:sz w:val="22"/>
                <w:szCs w:val="22"/>
              </w:rPr>
              <w:t>0%</w:t>
            </w:r>
          </w:p>
        </w:tc>
        <w:tc>
          <w:tcPr>
            <w:tcW w:w="1701" w:type="dxa"/>
            <w:vAlign w:val="center"/>
          </w:tcPr>
          <w:p w:rsidR="00881DDC" w:rsidRPr="00B71F5C" w:rsidRDefault="00F62DAB" w:rsidP="00B71F5C">
            <w:pPr>
              <w:jc w:val="center"/>
              <w:rPr>
                <w:rFonts w:ascii="Arial (W1)" w:hAnsi="Arial (W1)" w:cs="Arial"/>
                <w:sz w:val="22"/>
                <w:szCs w:val="22"/>
              </w:rPr>
            </w:pPr>
            <w:r w:rsidRPr="00B71F5C">
              <w:rPr>
                <w:rFonts w:ascii="Arial (W1)" w:hAnsi="Arial (W1)" w:cs="Arial"/>
                <w:sz w:val="22"/>
                <w:szCs w:val="22"/>
              </w:rPr>
              <w:t>6.19</w:t>
            </w:r>
            <w:r w:rsidR="00881DDC" w:rsidRPr="00B71F5C">
              <w:rPr>
                <w:rFonts w:ascii="Arial (W1)" w:hAnsi="Arial (W1)" w:cs="Arial"/>
                <w:sz w:val="22"/>
                <w:szCs w:val="22"/>
              </w:rPr>
              <w:t>%</w:t>
            </w:r>
          </w:p>
        </w:tc>
        <w:tc>
          <w:tcPr>
            <w:tcW w:w="1826" w:type="dxa"/>
          </w:tcPr>
          <w:p w:rsidR="00881DDC" w:rsidRPr="009B12FF" w:rsidRDefault="00F62DAB" w:rsidP="00AF659C">
            <w:pPr>
              <w:jc w:val="center"/>
              <w:rPr>
                <w:rFonts w:ascii="Arial" w:hAnsi="Arial" w:cs="Arial"/>
                <w:sz w:val="22"/>
                <w:szCs w:val="22"/>
              </w:rPr>
            </w:pPr>
            <w:r w:rsidRPr="009B12FF">
              <w:rPr>
                <w:rFonts w:ascii="Arial" w:hAnsi="Arial" w:cs="Arial"/>
                <w:sz w:val="22"/>
                <w:szCs w:val="22"/>
              </w:rPr>
              <w:t>619</w:t>
            </w:r>
            <w:r w:rsidR="00881DDC" w:rsidRPr="009B12FF">
              <w:rPr>
                <w:rFonts w:ascii="Arial" w:hAnsi="Arial" w:cs="Arial"/>
                <w:sz w:val="22"/>
                <w:szCs w:val="22"/>
              </w:rPr>
              <w:t>%</w:t>
            </w:r>
          </w:p>
        </w:tc>
      </w:tr>
    </w:tbl>
    <w:p w:rsidR="00881DDC" w:rsidRPr="009B12FF" w:rsidRDefault="00881DDC" w:rsidP="001B2FF4">
      <w:pPr>
        <w:pStyle w:val="Textoindependiente"/>
        <w:jc w:val="both"/>
        <w:rPr>
          <w:rFonts w:cs="Arial"/>
          <w:b/>
          <w:color w:val="000000"/>
          <w:sz w:val="22"/>
          <w:szCs w:val="22"/>
        </w:rPr>
      </w:pPr>
    </w:p>
    <w:p w:rsidR="00920551" w:rsidRPr="009B12FF" w:rsidRDefault="00920551" w:rsidP="001B2FF4">
      <w:pPr>
        <w:pStyle w:val="Textoindependiente"/>
        <w:jc w:val="both"/>
        <w:rPr>
          <w:rFonts w:cs="Arial"/>
          <w:color w:val="000000"/>
          <w:sz w:val="22"/>
          <w:szCs w:val="22"/>
        </w:rPr>
      </w:pPr>
      <w:r w:rsidRPr="009B12FF">
        <w:rPr>
          <w:rFonts w:cs="Arial"/>
          <w:color w:val="000000"/>
          <w:sz w:val="22"/>
          <w:szCs w:val="22"/>
        </w:rPr>
        <w:t>Para el año 2013, este indicador aumentó un 6.19% con respecto a las ventas del 2012, de conformidad con el Presupuesto Extraordinario N°2-2013. Por lo que el indicador propuesto en la “Matriz de Resultados por Programa (MRP), se ubica en un 619%.  Los productos que presentaron un mayor crecimiento con respecto al año 2012, fueron los productos electrónicos, denominados “Nuevos Tiempos” y “Lotto”.</w:t>
      </w:r>
    </w:p>
    <w:p w:rsidR="00920551" w:rsidRPr="009B12FF" w:rsidRDefault="00920551" w:rsidP="001B2FF4">
      <w:pPr>
        <w:pStyle w:val="Textoindependiente"/>
        <w:jc w:val="both"/>
        <w:rPr>
          <w:rFonts w:cs="Arial"/>
          <w:color w:val="000000"/>
          <w:sz w:val="22"/>
          <w:szCs w:val="22"/>
        </w:rPr>
      </w:pPr>
    </w:p>
    <w:p w:rsidR="00920551" w:rsidRPr="009B12FF" w:rsidRDefault="00920551" w:rsidP="001B2FF4">
      <w:pPr>
        <w:jc w:val="both"/>
        <w:rPr>
          <w:rFonts w:ascii="Arial" w:hAnsi="Arial" w:cs="Arial"/>
          <w:sz w:val="22"/>
          <w:szCs w:val="22"/>
        </w:rPr>
      </w:pPr>
      <w:r w:rsidRPr="009B12FF">
        <w:rPr>
          <w:rFonts w:ascii="Arial" w:hAnsi="Arial" w:cs="Arial"/>
          <w:color w:val="000000"/>
          <w:sz w:val="22"/>
          <w:szCs w:val="22"/>
        </w:rPr>
        <w:t xml:space="preserve">Dentro de las acciones que se han implementado para mejorar los ingresos, está la incorporación a partir del mes de junio 2013 del </w:t>
      </w:r>
      <w:r w:rsidRPr="009B12FF">
        <w:rPr>
          <w:rFonts w:ascii="Arial" w:hAnsi="Arial" w:cs="Arial"/>
          <w:sz w:val="22"/>
          <w:szCs w:val="22"/>
        </w:rPr>
        <w:t xml:space="preserve">Consorcio Gtech – Boldt Gaming,  para operar </w:t>
      </w:r>
      <w:smartTag w:uri="urn:schemas-microsoft-com:office:smarttags" w:element="PersonName">
        <w:smartTagPr>
          <w:attr w:name="ProductID" w:val="la Loter￭a Electr￳nica"/>
        </w:smartTagPr>
        <w:r w:rsidRPr="009B12FF">
          <w:rPr>
            <w:rFonts w:ascii="Arial" w:hAnsi="Arial" w:cs="Arial"/>
            <w:color w:val="000000"/>
            <w:sz w:val="22"/>
            <w:szCs w:val="22"/>
          </w:rPr>
          <w:t>la Lotería Electrónica</w:t>
        </w:r>
      </w:smartTag>
      <w:r w:rsidRPr="009B12FF">
        <w:rPr>
          <w:rFonts w:ascii="Arial" w:hAnsi="Arial" w:cs="Arial"/>
          <w:color w:val="000000"/>
          <w:sz w:val="22"/>
          <w:szCs w:val="22"/>
        </w:rPr>
        <w:t xml:space="preserve">, </w:t>
      </w:r>
      <w:r w:rsidRPr="009B12FF">
        <w:rPr>
          <w:rFonts w:ascii="Arial" w:hAnsi="Arial" w:cs="Arial"/>
          <w:sz w:val="22"/>
          <w:szCs w:val="22"/>
        </w:rPr>
        <w:t xml:space="preserve">de conformidad con </w:t>
      </w:r>
      <w:smartTag w:uri="urn:schemas-microsoft-com:office:smarttags" w:element="PersonName">
        <w:smartTagPr>
          <w:attr w:name="ProductID" w:val="la Licitaci￳n P￺blica"/>
        </w:smartTagPr>
        <w:r w:rsidRPr="009B12FF">
          <w:rPr>
            <w:rFonts w:ascii="Arial" w:hAnsi="Arial" w:cs="Arial"/>
            <w:sz w:val="22"/>
            <w:szCs w:val="22"/>
          </w:rPr>
          <w:t>la Licitación Pública</w:t>
        </w:r>
      </w:smartTag>
      <w:r w:rsidRPr="009B12FF">
        <w:rPr>
          <w:rFonts w:ascii="Arial" w:hAnsi="Arial" w:cs="Arial"/>
          <w:sz w:val="22"/>
          <w:szCs w:val="22"/>
        </w:rPr>
        <w:t xml:space="preserve"> No. 2011LN-000002-PROV “Desarrollo, Implementación y Operación de </w:t>
      </w:r>
      <w:smartTag w:uri="urn:schemas-microsoft-com:office:smarttags" w:element="PersonName">
        <w:smartTagPr>
          <w:attr w:name="ProductID" w:val="la Loter￭a Electr￳nica"/>
        </w:smartTagPr>
        <w:r w:rsidRPr="009B12FF">
          <w:rPr>
            <w:rFonts w:ascii="Arial" w:hAnsi="Arial" w:cs="Arial"/>
            <w:sz w:val="22"/>
            <w:szCs w:val="22"/>
          </w:rPr>
          <w:t>la Lotería Electrónica</w:t>
        </w:r>
      </w:smartTag>
      <w:r w:rsidRPr="009B12FF">
        <w:rPr>
          <w:rFonts w:ascii="Arial" w:hAnsi="Arial" w:cs="Arial"/>
          <w:sz w:val="22"/>
          <w:szCs w:val="22"/>
        </w:rPr>
        <w:t xml:space="preserve"> en línea y tiempo real”.  La Lotería Tiempos Digitales, se transforma en </w:t>
      </w:r>
      <w:smartTag w:uri="urn:schemas-microsoft-com:office:smarttags" w:element="PersonName">
        <w:smartTagPr>
          <w:attr w:name="ProductID" w:val="la Loter￭a"/>
        </w:smartTagPr>
        <w:r w:rsidRPr="009B12FF">
          <w:rPr>
            <w:rFonts w:ascii="Arial" w:hAnsi="Arial" w:cs="Arial"/>
            <w:sz w:val="22"/>
            <w:szCs w:val="22"/>
          </w:rPr>
          <w:t>la Lotería</w:t>
        </w:r>
      </w:smartTag>
      <w:r w:rsidRPr="009B12FF">
        <w:rPr>
          <w:rFonts w:ascii="Arial" w:hAnsi="Arial" w:cs="Arial"/>
          <w:sz w:val="22"/>
          <w:szCs w:val="22"/>
        </w:rPr>
        <w:t xml:space="preserve"> “Nuevos Tiempos”, con las siguientes innovaciones: Se realizan dos sorteos diarios, el primero a las 12:55 p.m. y el segundo sorteo se efectúa a las 6:55 p.m. de lunes a domingo. Ofrece un llamativo Plan de Premios, el cual le ofrece 4 modalidades de premios; al “Número Exacto” le paga 70 veces el monto invertido; al “Número Reversible” le paga 35 veces el monto invertido; al “Primer Número” le paga 7 veces el monto invertido y al “Último Número o terminación” le paga 7 veces el monto invertido. Cada una de estas modalidades de premio, representa una apuesta independiente.</w:t>
      </w:r>
    </w:p>
    <w:p w:rsidR="00920551" w:rsidRPr="009B12FF" w:rsidRDefault="00920551" w:rsidP="001B2FF4">
      <w:pPr>
        <w:jc w:val="both"/>
        <w:rPr>
          <w:rFonts w:ascii="Arial" w:hAnsi="Arial" w:cs="Arial"/>
          <w:color w:val="000000"/>
          <w:sz w:val="22"/>
          <w:szCs w:val="22"/>
        </w:rPr>
      </w:pPr>
    </w:p>
    <w:p w:rsidR="00920551" w:rsidRPr="009B12FF" w:rsidRDefault="00920551" w:rsidP="001B2FF4">
      <w:pPr>
        <w:jc w:val="both"/>
        <w:rPr>
          <w:rFonts w:ascii="Arial" w:hAnsi="Arial" w:cs="Arial"/>
          <w:color w:val="000000"/>
          <w:sz w:val="22"/>
          <w:szCs w:val="22"/>
        </w:rPr>
      </w:pPr>
      <w:r w:rsidRPr="009B12FF">
        <w:rPr>
          <w:rFonts w:ascii="Arial" w:hAnsi="Arial" w:cs="Arial"/>
          <w:color w:val="000000"/>
          <w:sz w:val="22"/>
          <w:szCs w:val="22"/>
        </w:rPr>
        <w:t>El juego “Pega Millones” se transforma en “Lotto”, con la novedad de acertar 5 aciertos, con una numeración del 01 al 35, pagando a los ganadores de 2, 3, 4 y 5 aciertos, ha ganado gran cantidad de compradores, que han acertado el premio acumulado. En caso de no ser acertado el premio acumulado, aumenta un porcentaje para el próximo sorteo y esta manera mantener el interés de los compradores.</w:t>
      </w:r>
    </w:p>
    <w:p w:rsidR="00920551" w:rsidRPr="009B12FF" w:rsidRDefault="00920551" w:rsidP="001B2FF4">
      <w:pPr>
        <w:jc w:val="both"/>
        <w:rPr>
          <w:rFonts w:ascii="Arial" w:hAnsi="Arial" w:cs="Arial"/>
          <w:color w:val="000000"/>
          <w:sz w:val="22"/>
          <w:szCs w:val="22"/>
        </w:rPr>
      </w:pPr>
    </w:p>
    <w:p w:rsidR="00920551" w:rsidRPr="009B12FF" w:rsidRDefault="00920551" w:rsidP="001B2FF4">
      <w:pPr>
        <w:jc w:val="both"/>
        <w:rPr>
          <w:rFonts w:ascii="Arial" w:hAnsi="Arial" w:cs="Arial"/>
          <w:color w:val="000000"/>
          <w:sz w:val="22"/>
          <w:szCs w:val="22"/>
        </w:rPr>
      </w:pPr>
      <w:r w:rsidRPr="009B12FF">
        <w:rPr>
          <w:rFonts w:ascii="Arial" w:hAnsi="Arial" w:cs="Arial"/>
          <w:color w:val="000000"/>
          <w:sz w:val="22"/>
          <w:szCs w:val="22"/>
        </w:rPr>
        <w:t>El juego “Progol”, se convierte en “Pitazo”, donde participan 11 eventos deportivos. Se debe escoger, Local, Visita o Empate, para cada uno de los encuentros. También se puede escoger las tres opciones para un mismo partido, pero c</w:t>
      </w:r>
      <w:r w:rsidRPr="009B12FF">
        <w:rPr>
          <w:rFonts w:ascii="Arial" w:hAnsi="Arial" w:cs="Arial"/>
          <w:sz w:val="22"/>
          <w:szCs w:val="22"/>
        </w:rPr>
        <w:t>ada una de estas modalidades de juego, representa una apuesta independiente</w:t>
      </w:r>
      <w:r w:rsidRPr="009B12FF">
        <w:rPr>
          <w:rFonts w:ascii="Arial" w:hAnsi="Arial" w:cs="Arial"/>
          <w:color w:val="000000"/>
          <w:sz w:val="22"/>
          <w:szCs w:val="22"/>
        </w:rPr>
        <w:t>.  Los consumidores también han mostrado interés en esta modalidad de apuesta.</w:t>
      </w:r>
    </w:p>
    <w:p w:rsidR="00920551" w:rsidRPr="009B12FF" w:rsidRDefault="00920551" w:rsidP="001B2FF4">
      <w:pPr>
        <w:jc w:val="both"/>
        <w:rPr>
          <w:rFonts w:ascii="Arial" w:hAnsi="Arial" w:cs="Arial"/>
          <w:color w:val="000000"/>
          <w:sz w:val="22"/>
          <w:szCs w:val="22"/>
        </w:rPr>
      </w:pPr>
    </w:p>
    <w:p w:rsidR="00920551" w:rsidRPr="009B12FF" w:rsidRDefault="00920551" w:rsidP="001B2FF4">
      <w:pPr>
        <w:jc w:val="both"/>
        <w:rPr>
          <w:rFonts w:ascii="Arial" w:hAnsi="Arial" w:cs="Arial"/>
          <w:sz w:val="22"/>
          <w:szCs w:val="22"/>
        </w:rPr>
      </w:pPr>
      <w:r w:rsidRPr="009B12FF">
        <w:rPr>
          <w:rFonts w:ascii="Arial" w:hAnsi="Arial" w:cs="Arial"/>
          <w:sz w:val="22"/>
          <w:szCs w:val="22"/>
        </w:rPr>
        <w:t xml:space="preserve">Se mantiene el programa de </w:t>
      </w:r>
      <w:smartTag w:uri="urn:schemas-microsoft-com:office:smarttags" w:element="PersonName">
        <w:smartTagPr>
          <w:attr w:name="ProductID" w:val="La Rueda"/>
        </w:smartTagPr>
        <w:r w:rsidRPr="009B12FF">
          <w:rPr>
            <w:rFonts w:ascii="Arial" w:hAnsi="Arial" w:cs="Arial"/>
            <w:sz w:val="22"/>
            <w:szCs w:val="22"/>
          </w:rPr>
          <w:t>La Rueda</w:t>
        </w:r>
      </w:smartTag>
      <w:r w:rsidRPr="009B12FF">
        <w:rPr>
          <w:rFonts w:ascii="Arial" w:hAnsi="Arial" w:cs="Arial"/>
          <w:sz w:val="22"/>
          <w:szCs w:val="22"/>
        </w:rPr>
        <w:t xml:space="preserve"> de </w:t>
      </w:r>
      <w:smartTag w:uri="urn:schemas-microsoft-com:office:smarttags" w:element="PersonName">
        <w:smartTagPr>
          <w:attr w:name="ProductID" w:val="la Fortuna"/>
        </w:smartTagPr>
        <w:r w:rsidRPr="009B12FF">
          <w:rPr>
            <w:rFonts w:ascii="Arial" w:hAnsi="Arial" w:cs="Arial"/>
            <w:sz w:val="22"/>
            <w:szCs w:val="22"/>
          </w:rPr>
          <w:t>la Fortuna</w:t>
        </w:r>
      </w:smartTag>
      <w:r w:rsidRPr="009B12FF">
        <w:rPr>
          <w:rFonts w:ascii="Arial" w:hAnsi="Arial" w:cs="Arial"/>
          <w:sz w:val="22"/>
          <w:szCs w:val="22"/>
        </w:rPr>
        <w:t>, con un formato más fresco, modernizando sus elementos técnicos y de producción. Se mantienen los segmentos creados, “Raspa”, “Dado Manía”, “Lotería Nacional”.</w:t>
      </w:r>
    </w:p>
    <w:p w:rsidR="00920551" w:rsidRPr="009B12FF" w:rsidRDefault="00920551" w:rsidP="001B2FF4">
      <w:pPr>
        <w:jc w:val="both"/>
        <w:rPr>
          <w:rFonts w:ascii="Arial" w:hAnsi="Arial" w:cs="Arial"/>
          <w:color w:val="000000"/>
          <w:sz w:val="22"/>
          <w:szCs w:val="22"/>
        </w:rPr>
      </w:pPr>
    </w:p>
    <w:p w:rsidR="00920551" w:rsidRPr="009B12FF" w:rsidRDefault="00920551" w:rsidP="001B2FF4">
      <w:pPr>
        <w:jc w:val="both"/>
        <w:rPr>
          <w:rFonts w:ascii="Arial" w:hAnsi="Arial" w:cs="Arial"/>
          <w:color w:val="000000"/>
          <w:sz w:val="22"/>
          <w:szCs w:val="22"/>
        </w:rPr>
      </w:pPr>
      <w:r w:rsidRPr="009B12FF">
        <w:rPr>
          <w:rFonts w:ascii="Arial" w:hAnsi="Arial" w:cs="Arial"/>
          <w:color w:val="000000"/>
          <w:sz w:val="22"/>
          <w:szCs w:val="22"/>
        </w:rPr>
        <w:t xml:space="preserve">Se logró colocar varios juegos de Lotería Instantánea con precios de ¢500 y de ¢1.000 el boleto. Los juegos de tiquetes de ¢500 son los que más aceptación tienen entre el público consumidor de loterías. En algunos periodos se pusieron a la venta dos juegos simultáneos, con diferente precio. </w:t>
      </w:r>
    </w:p>
    <w:p w:rsidR="00920551" w:rsidRPr="009B12FF" w:rsidRDefault="00920551" w:rsidP="001B2FF4">
      <w:pPr>
        <w:jc w:val="both"/>
        <w:rPr>
          <w:rFonts w:ascii="Arial" w:hAnsi="Arial" w:cs="Arial"/>
          <w:color w:val="000000"/>
          <w:sz w:val="22"/>
          <w:szCs w:val="22"/>
        </w:rPr>
      </w:pPr>
    </w:p>
    <w:p w:rsidR="00920551" w:rsidRPr="009B12FF" w:rsidRDefault="00920551" w:rsidP="001B2FF4">
      <w:pPr>
        <w:jc w:val="both"/>
        <w:rPr>
          <w:rFonts w:ascii="Arial" w:hAnsi="Arial" w:cs="Arial"/>
          <w:color w:val="000000"/>
          <w:sz w:val="22"/>
          <w:szCs w:val="22"/>
        </w:rPr>
      </w:pPr>
      <w:r w:rsidRPr="009B12FF">
        <w:rPr>
          <w:rFonts w:ascii="Arial" w:hAnsi="Arial" w:cs="Arial"/>
          <w:color w:val="000000"/>
          <w:sz w:val="22"/>
          <w:szCs w:val="22"/>
        </w:rPr>
        <w:t xml:space="preserve">También se está en proceso de renovación de la fuerza de ventas, a través de la incorporación de nuevas personas bajo la modalidad del artículo 10, aprovechando la coyuntura que se presentó el año anterior, al pensionarse una cantidad significativa de adjudicatarios de lotería; procurando que los nuevos canales se ubiquen principalmente en aquellas áreas donde no hay restricción para movilizarse, y en donde se requiera una mayor presencia de vendedores. </w:t>
      </w:r>
    </w:p>
    <w:p w:rsidR="00920551" w:rsidRPr="009B12FF" w:rsidRDefault="00920551" w:rsidP="001B2FF4">
      <w:pPr>
        <w:pStyle w:val="Textoindependiente"/>
        <w:jc w:val="both"/>
        <w:rPr>
          <w:rFonts w:cs="Arial"/>
          <w:b/>
          <w:color w:val="000000"/>
          <w:sz w:val="22"/>
          <w:szCs w:val="22"/>
          <w:lang w:val="es-ES"/>
        </w:rPr>
      </w:pPr>
    </w:p>
    <w:p w:rsidR="00920551" w:rsidRPr="009B12FF" w:rsidRDefault="00920551" w:rsidP="001B2FF4">
      <w:pPr>
        <w:jc w:val="both"/>
        <w:rPr>
          <w:rFonts w:ascii="Arial" w:hAnsi="Arial" w:cs="Arial"/>
          <w:sz w:val="22"/>
          <w:szCs w:val="22"/>
        </w:rPr>
      </w:pPr>
      <w:r w:rsidRPr="009B12FF">
        <w:rPr>
          <w:rFonts w:ascii="Arial" w:hAnsi="Arial" w:cs="Arial"/>
          <w:sz w:val="22"/>
          <w:szCs w:val="22"/>
        </w:rPr>
        <w:t xml:space="preserve">Los problemas de la delincuencia que sufren muchos de nuestros vendedores y que lamentablemente van en aumento, lo cual les produce pérdidas económicas que les limitan su accionar.  No podemos dejar de mencionar las medidas restrictivas para permitir el desarrollo de la venta de la lotería en los centros de las ciudades por parte de algunos Ayuntamientos, principalmente </w:t>
      </w:r>
      <w:smartTag w:uri="urn:schemas-microsoft-com:office:smarttags" w:element="PersonName">
        <w:smartTagPr>
          <w:attr w:name="ProductID" w:val="la Municipalidad"/>
        </w:smartTagPr>
        <w:r w:rsidRPr="009B12FF">
          <w:rPr>
            <w:rFonts w:ascii="Arial" w:hAnsi="Arial" w:cs="Arial"/>
            <w:sz w:val="22"/>
            <w:szCs w:val="22"/>
          </w:rPr>
          <w:t>la Municipalidad</w:t>
        </w:r>
      </w:smartTag>
      <w:r w:rsidRPr="009B12FF">
        <w:rPr>
          <w:rFonts w:ascii="Arial" w:hAnsi="Arial" w:cs="Arial"/>
          <w:sz w:val="22"/>
          <w:szCs w:val="22"/>
        </w:rPr>
        <w:t xml:space="preserve"> de San José, lo cual también les dificulta a las personas desarrollar su actividad como en otras oportunidades. Asimismo, el Ministerio de Hacienda les está obligando al pago de los impuestos correspondientes a las ganancias que obtienen sobre las ventas de lotería.  Muchas de estas personas han optado entonces por renunciar a sus cuotas de loterías o bien no retirar la cuota, lo que ocasiona efectuar trámites de cancelación de cuotas.</w:t>
      </w:r>
    </w:p>
    <w:p w:rsidR="00920551" w:rsidRPr="009B12FF" w:rsidRDefault="00920551" w:rsidP="001B2FF4">
      <w:pPr>
        <w:jc w:val="both"/>
        <w:rPr>
          <w:rFonts w:ascii="Arial" w:hAnsi="Arial" w:cs="Arial"/>
          <w:color w:val="000000"/>
          <w:sz w:val="22"/>
          <w:szCs w:val="22"/>
        </w:rPr>
      </w:pPr>
    </w:p>
    <w:p w:rsidR="00920551" w:rsidRPr="009B12FF" w:rsidRDefault="00920551" w:rsidP="001B2FF4">
      <w:pPr>
        <w:jc w:val="both"/>
        <w:rPr>
          <w:rFonts w:ascii="Arial" w:hAnsi="Arial" w:cs="Arial"/>
          <w:color w:val="000000"/>
          <w:sz w:val="22"/>
          <w:szCs w:val="22"/>
        </w:rPr>
      </w:pPr>
      <w:r w:rsidRPr="009B12FF">
        <w:rPr>
          <w:rFonts w:ascii="Arial" w:hAnsi="Arial" w:cs="Arial"/>
          <w:color w:val="000000"/>
          <w:sz w:val="22"/>
          <w:szCs w:val="22"/>
        </w:rPr>
        <w:t>Asimismo,  la competencia ilegal obtiene su participación de mercado restando parte del ingreso disponible del consumidor para juego y entretenimiento.</w:t>
      </w:r>
    </w:p>
    <w:p w:rsidR="00920551" w:rsidRPr="009B12FF" w:rsidRDefault="00920551" w:rsidP="001B2FF4">
      <w:pPr>
        <w:jc w:val="both"/>
        <w:rPr>
          <w:rFonts w:ascii="Arial" w:hAnsi="Arial" w:cs="Arial"/>
          <w:color w:val="000000"/>
          <w:sz w:val="22"/>
          <w:szCs w:val="22"/>
        </w:rPr>
      </w:pPr>
    </w:p>
    <w:p w:rsidR="00920551" w:rsidRPr="009B12FF" w:rsidRDefault="00920551" w:rsidP="001B2FF4">
      <w:pPr>
        <w:jc w:val="both"/>
        <w:rPr>
          <w:rFonts w:ascii="Arial" w:hAnsi="Arial" w:cs="Arial"/>
          <w:color w:val="000000"/>
          <w:sz w:val="22"/>
          <w:szCs w:val="22"/>
        </w:rPr>
      </w:pPr>
      <w:r w:rsidRPr="009B12FF">
        <w:rPr>
          <w:rFonts w:ascii="Arial" w:hAnsi="Arial" w:cs="Arial"/>
          <w:color w:val="000000"/>
          <w:sz w:val="22"/>
          <w:szCs w:val="22"/>
        </w:rPr>
        <w:t xml:space="preserve">En resumen, </w:t>
      </w:r>
      <w:smartTag w:uri="urn:schemas-microsoft-com:office:smarttags" w:element="PersonName">
        <w:smartTagPr>
          <w:attr w:name="ProductID" w:val="la Junta"/>
        </w:smartTagPr>
        <w:r w:rsidRPr="009B12FF">
          <w:rPr>
            <w:rFonts w:ascii="Arial" w:hAnsi="Arial" w:cs="Arial"/>
            <w:color w:val="000000"/>
            <w:sz w:val="22"/>
            <w:szCs w:val="22"/>
          </w:rPr>
          <w:t>la Junta</w:t>
        </w:r>
      </w:smartTag>
      <w:r w:rsidRPr="009B12FF">
        <w:rPr>
          <w:rFonts w:ascii="Arial" w:hAnsi="Arial" w:cs="Arial"/>
          <w:color w:val="000000"/>
          <w:sz w:val="22"/>
          <w:szCs w:val="22"/>
        </w:rPr>
        <w:t xml:space="preserve"> de Protección Social, está realizando esfuerzos para contrarrestar las condiciones adversas que están rodeando el mercado de las loterías, para lograr incrementar las ventas efectivas de Loterías, con diferentes promociones especialmente en </w:t>
      </w:r>
      <w:smartTag w:uri="urn:schemas-microsoft-com:office:smarttags" w:element="PersonName">
        <w:smartTagPr>
          <w:attr w:name="ProductID" w:val="la Loter￭a Nacional"/>
        </w:smartTagPr>
        <w:r w:rsidRPr="009B12FF">
          <w:rPr>
            <w:rFonts w:ascii="Arial" w:hAnsi="Arial" w:cs="Arial"/>
            <w:color w:val="000000"/>
            <w:sz w:val="22"/>
            <w:szCs w:val="22"/>
          </w:rPr>
          <w:t>la Lotería Nacional</w:t>
        </w:r>
      </w:smartTag>
      <w:r w:rsidRPr="009B12FF">
        <w:rPr>
          <w:rFonts w:ascii="Arial" w:hAnsi="Arial" w:cs="Arial"/>
          <w:color w:val="000000"/>
          <w:sz w:val="22"/>
          <w:szCs w:val="22"/>
        </w:rPr>
        <w:t xml:space="preserve"> y Lotería Popular.</w:t>
      </w:r>
    </w:p>
    <w:p w:rsidR="00920551" w:rsidRPr="009B12FF" w:rsidRDefault="00920551" w:rsidP="001B2FF4">
      <w:pPr>
        <w:jc w:val="both"/>
        <w:rPr>
          <w:rFonts w:ascii="Arial" w:hAnsi="Arial" w:cs="Arial"/>
          <w:color w:val="000000"/>
          <w:sz w:val="22"/>
          <w:szCs w:val="22"/>
        </w:rPr>
      </w:pPr>
    </w:p>
    <w:p w:rsidR="00920551" w:rsidRPr="009B12FF" w:rsidRDefault="00920551" w:rsidP="001B2FF4">
      <w:pPr>
        <w:jc w:val="both"/>
        <w:rPr>
          <w:rFonts w:ascii="Arial" w:hAnsi="Arial" w:cs="Arial"/>
          <w:color w:val="000000"/>
          <w:sz w:val="22"/>
          <w:szCs w:val="22"/>
        </w:rPr>
      </w:pPr>
      <w:r w:rsidRPr="009B12FF">
        <w:rPr>
          <w:rFonts w:ascii="Arial" w:hAnsi="Arial" w:cs="Arial"/>
          <w:color w:val="000000"/>
          <w:sz w:val="22"/>
          <w:szCs w:val="22"/>
        </w:rPr>
        <w:t>Como conclusión general se puede destacar que a nivel global del país, muchos sectores económicos han tenido un descenso en los ingresos, por lo que se debe estimular a los consumidores con premios especiales y campañas promocionales y a los vendedores con programas de incentivos por ventas, a fin de lograr el crecimiento continuo en la generación de ingresos.</w:t>
      </w:r>
    </w:p>
    <w:p w:rsidR="00881DDC" w:rsidRPr="009B12FF" w:rsidRDefault="00881DDC" w:rsidP="001B2FF4">
      <w:pPr>
        <w:jc w:val="both"/>
        <w:rPr>
          <w:rFonts w:ascii="Arial" w:hAnsi="Arial" w:cs="Arial"/>
          <w:color w:val="000000"/>
          <w:sz w:val="22"/>
          <w:szCs w:val="22"/>
        </w:rPr>
      </w:pPr>
    </w:p>
    <w:p w:rsidR="00D70049" w:rsidRPr="009B12FF" w:rsidRDefault="00D70049" w:rsidP="001B2FF4">
      <w:pPr>
        <w:jc w:val="center"/>
        <w:rPr>
          <w:rFonts w:ascii="Arial" w:hAnsi="Arial" w:cs="Arial"/>
          <w:b/>
          <w:bCs/>
          <w:color w:val="000000" w:themeColor="text1"/>
          <w:sz w:val="22"/>
          <w:szCs w:val="22"/>
        </w:rPr>
      </w:pPr>
      <w:r w:rsidRPr="009B12FF">
        <w:rPr>
          <w:rFonts w:ascii="Arial" w:hAnsi="Arial" w:cs="Arial"/>
          <w:b/>
          <w:bCs/>
          <w:color w:val="000000" w:themeColor="text1"/>
          <w:sz w:val="22"/>
          <w:szCs w:val="22"/>
        </w:rPr>
        <w:t>P</w:t>
      </w:r>
      <w:r w:rsidR="00E301E2" w:rsidRPr="009B12FF">
        <w:rPr>
          <w:rFonts w:ascii="Arial" w:hAnsi="Arial" w:cs="Arial"/>
          <w:b/>
          <w:bCs/>
          <w:color w:val="000000" w:themeColor="text1"/>
          <w:sz w:val="22"/>
          <w:szCs w:val="22"/>
        </w:rPr>
        <w:t>rograma</w:t>
      </w:r>
      <w:r w:rsidRPr="009B12FF">
        <w:rPr>
          <w:rFonts w:ascii="Arial" w:hAnsi="Arial" w:cs="Arial"/>
          <w:b/>
          <w:bCs/>
          <w:color w:val="000000" w:themeColor="text1"/>
          <w:sz w:val="22"/>
          <w:szCs w:val="22"/>
        </w:rPr>
        <w:t xml:space="preserve"> 3 Administración de Campos Santos (</w:t>
      </w:r>
      <w:r w:rsidR="00387D75" w:rsidRPr="009B12FF">
        <w:rPr>
          <w:rFonts w:ascii="Arial" w:hAnsi="Arial" w:cs="Arial"/>
          <w:b/>
          <w:bCs/>
          <w:color w:val="000000" w:themeColor="text1"/>
          <w:sz w:val="22"/>
          <w:szCs w:val="22"/>
        </w:rPr>
        <w:t>Gerencia de Desarrollo Social</w:t>
      </w:r>
      <w:r w:rsidRPr="009B12FF">
        <w:rPr>
          <w:rFonts w:ascii="Arial" w:hAnsi="Arial" w:cs="Arial"/>
          <w:b/>
          <w:bCs/>
          <w:color w:val="000000" w:themeColor="text1"/>
          <w:sz w:val="22"/>
          <w:szCs w:val="22"/>
        </w:rPr>
        <w:t>)</w:t>
      </w:r>
    </w:p>
    <w:p w:rsidR="0034355F" w:rsidRPr="009B12FF" w:rsidRDefault="0034355F" w:rsidP="001B2FF4">
      <w:pPr>
        <w:jc w:val="both"/>
        <w:rPr>
          <w:rFonts w:ascii="Arial" w:hAnsi="Arial" w:cs="Arial"/>
          <w:bCs/>
          <w:color w:val="000000" w:themeColor="text1"/>
          <w:sz w:val="22"/>
          <w:szCs w:val="22"/>
        </w:rPr>
      </w:pPr>
    </w:p>
    <w:p w:rsidR="00F73A50" w:rsidRPr="009B12FF" w:rsidRDefault="00F73A50" w:rsidP="001B2FF4">
      <w:pPr>
        <w:jc w:val="both"/>
        <w:rPr>
          <w:rFonts w:ascii="Arial" w:hAnsi="Arial" w:cs="Arial"/>
          <w:sz w:val="22"/>
          <w:szCs w:val="22"/>
        </w:rPr>
      </w:pPr>
      <w:r w:rsidRPr="009B12FF">
        <w:rPr>
          <w:rFonts w:ascii="Arial" w:hAnsi="Arial" w:cs="Arial"/>
          <w:sz w:val="22"/>
          <w:szCs w:val="22"/>
        </w:rPr>
        <w:t xml:space="preserve">El Cementerio General fue una de las razones de ser de la Junta de Caridad. Institución que se transformó en la Junta de Protección Social, actual administradora de loterías a nivel nacional y generadora de recursos para financiar proyectos de seguridad social públicos y privados en Costa Rica. </w:t>
      </w:r>
    </w:p>
    <w:p w:rsidR="00A03B1D" w:rsidRPr="009B12FF" w:rsidRDefault="00A03B1D" w:rsidP="001B2FF4">
      <w:pPr>
        <w:jc w:val="both"/>
        <w:rPr>
          <w:rFonts w:ascii="Arial" w:hAnsi="Arial" w:cs="Arial"/>
          <w:sz w:val="22"/>
          <w:szCs w:val="22"/>
        </w:rPr>
      </w:pPr>
    </w:p>
    <w:p w:rsidR="00F73A50" w:rsidRPr="009B12FF" w:rsidRDefault="00F73A50" w:rsidP="001B2FF4">
      <w:pPr>
        <w:jc w:val="both"/>
        <w:rPr>
          <w:rFonts w:ascii="Arial" w:hAnsi="Arial" w:cs="Arial"/>
          <w:sz w:val="22"/>
          <w:szCs w:val="22"/>
        </w:rPr>
      </w:pPr>
      <w:r w:rsidRPr="009B12FF">
        <w:rPr>
          <w:rFonts w:ascii="Arial" w:hAnsi="Arial" w:cs="Arial"/>
          <w:sz w:val="22"/>
          <w:szCs w:val="22"/>
        </w:rPr>
        <w:t xml:space="preserve">En virtud de las necesidades de la ciudadanía costarricense en el año de 1984 inició operaciones el Cementerio Metropolitano, transformándose ambos cementerios, más que un medio para generar recursos financieros, en un destino de recursos económicos, al punto de competir con las organizaciones que son asistidas económicamente por la Junta de Protección Social para ejecutar sus misiones. </w:t>
      </w:r>
    </w:p>
    <w:p w:rsidR="00A03B1D" w:rsidRPr="009B12FF" w:rsidRDefault="00A03B1D" w:rsidP="001B2FF4">
      <w:pPr>
        <w:jc w:val="both"/>
        <w:rPr>
          <w:rFonts w:ascii="Arial" w:hAnsi="Arial" w:cs="Arial"/>
          <w:sz w:val="22"/>
          <w:szCs w:val="22"/>
        </w:rPr>
      </w:pPr>
    </w:p>
    <w:p w:rsidR="00F73A50" w:rsidRPr="009B12FF" w:rsidRDefault="00F73A50" w:rsidP="001B2FF4">
      <w:pPr>
        <w:jc w:val="both"/>
        <w:rPr>
          <w:rFonts w:ascii="Arial" w:hAnsi="Arial" w:cs="Arial"/>
          <w:sz w:val="22"/>
          <w:szCs w:val="22"/>
        </w:rPr>
      </w:pPr>
      <w:r w:rsidRPr="009B12FF">
        <w:rPr>
          <w:rFonts w:ascii="Arial" w:hAnsi="Arial" w:cs="Arial"/>
          <w:sz w:val="22"/>
          <w:szCs w:val="22"/>
        </w:rPr>
        <w:t xml:space="preserve"> La Junta de Protección Social, con</w:t>
      </w:r>
      <w:r w:rsidR="007E2169" w:rsidRPr="009B12FF">
        <w:rPr>
          <w:rFonts w:ascii="Arial" w:hAnsi="Arial" w:cs="Arial"/>
          <w:sz w:val="22"/>
          <w:szCs w:val="22"/>
        </w:rPr>
        <w:t>s</w:t>
      </w:r>
      <w:r w:rsidRPr="009B12FF">
        <w:rPr>
          <w:rFonts w:ascii="Arial" w:hAnsi="Arial" w:cs="Arial"/>
          <w:sz w:val="22"/>
          <w:szCs w:val="22"/>
        </w:rPr>
        <w:t>ciente de lo anterior y reconociendo que el ambiente competitivo nacional, producto de un mundo globalizado, exige cada día que la institución, brinde mayor eficiencia y calidad en los servicios ofrecidos dentro de la Administración de Cementerios y en virtud de que tal situación atenta contra la eficiencia, la eficacia, en el cumplimiento de la misión y los objetivos estratégicos institucionales, se ha propuesto impulsar la modernización de la Administración de Cementerios, enfocada a la atención de las necesidades de la sociedad costarricense, con una mejor distribución de los recursos públicos.</w:t>
      </w:r>
    </w:p>
    <w:p w:rsidR="007E2169" w:rsidRPr="009B12FF" w:rsidRDefault="007E2169" w:rsidP="001B2FF4">
      <w:pPr>
        <w:jc w:val="both"/>
        <w:rPr>
          <w:rFonts w:ascii="Arial" w:hAnsi="Arial" w:cs="Arial"/>
          <w:sz w:val="22"/>
          <w:szCs w:val="22"/>
        </w:rPr>
      </w:pPr>
    </w:p>
    <w:p w:rsidR="00F73A50" w:rsidRPr="009B12FF" w:rsidRDefault="00F73A50" w:rsidP="001B2FF4">
      <w:pPr>
        <w:rPr>
          <w:rFonts w:ascii="Arial" w:hAnsi="Arial" w:cs="Arial"/>
          <w:b/>
          <w:sz w:val="22"/>
          <w:szCs w:val="22"/>
        </w:rPr>
      </w:pPr>
      <w:r w:rsidRPr="009B12FF">
        <w:rPr>
          <w:rFonts w:ascii="Arial" w:hAnsi="Arial" w:cs="Arial"/>
          <w:b/>
          <w:sz w:val="22"/>
          <w:szCs w:val="22"/>
        </w:rPr>
        <w:t>Objetivo estratégico</w:t>
      </w:r>
    </w:p>
    <w:p w:rsidR="00F73A50" w:rsidRPr="009B12FF" w:rsidRDefault="00F73A50" w:rsidP="001B2FF4">
      <w:pPr>
        <w:jc w:val="both"/>
        <w:rPr>
          <w:rFonts w:ascii="Arial" w:hAnsi="Arial" w:cs="Arial"/>
          <w:i/>
          <w:sz w:val="22"/>
          <w:szCs w:val="22"/>
        </w:rPr>
      </w:pPr>
      <w:r w:rsidRPr="009B12FF">
        <w:rPr>
          <w:rFonts w:ascii="Arial" w:hAnsi="Arial" w:cs="Arial"/>
          <w:i/>
          <w:sz w:val="22"/>
          <w:szCs w:val="22"/>
        </w:rPr>
        <w:t>“Mejorar la gestión de los Campo Santos con la finalidad de satisfacer en forma eficiente y eficaz la demanda de servicios”</w:t>
      </w:r>
    </w:p>
    <w:p w:rsidR="00F73A50" w:rsidRPr="009B12FF" w:rsidRDefault="00F73A50" w:rsidP="001B2FF4">
      <w:pPr>
        <w:jc w:val="center"/>
        <w:rPr>
          <w:rFonts w:ascii="Arial" w:hAnsi="Arial" w:cs="Arial"/>
          <w:b/>
          <w:sz w:val="22"/>
          <w:szCs w:val="22"/>
        </w:rPr>
      </w:pPr>
    </w:p>
    <w:p w:rsidR="00F73A50" w:rsidRPr="009B12FF" w:rsidRDefault="00F73A50" w:rsidP="001B2FF4">
      <w:pPr>
        <w:rPr>
          <w:rFonts w:ascii="Arial" w:hAnsi="Arial" w:cs="Arial"/>
          <w:b/>
          <w:sz w:val="22"/>
          <w:szCs w:val="22"/>
          <w:u w:val="single"/>
        </w:rPr>
      </w:pPr>
      <w:r w:rsidRPr="009B12FF">
        <w:rPr>
          <w:rFonts w:ascii="Arial" w:hAnsi="Arial" w:cs="Arial"/>
          <w:b/>
          <w:sz w:val="22"/>
          <w:szCs w:val="22"/>
          <w:u w:val="single"/>
        </w:rPr>
        <w:t>Meta</w:t>
      </w:r>
      <w:r w:rsidR="00C22651" w:rsidRPr="009B12FF">
        <w:rPr>
          <w:rFonts w:ascii="Arial" w:hAnsi="Arial" w:cs="Arial"/>
          <w:b/>
          <w:sz w:val="22"/>
          <w:szCs w:val="22"/>
          <w:u w:val="single"/>
        </w:rPr>
        <w:t>s</w:t>
      </w:r>
      <w:r w:rsidRPr="009B12FF">
        <w:rPr>
          <w:rFonts w:ascii="Arial" w:hAnsi="Arial" w:cs="Arial"/>
          <w:b/>
          <w:sz w:val="22"/>
          <w:szCs w:val="22"/>
          <w:u w:val="single"/>
        </w:rPr>
        <w:t xml:space="preserve"> Cumplida</w:t>
      </w:r>
      <w:r w:rsidR="00C22651" w:rsidRPr="009B12FF">
        <w:rPr>
          <w:rFonts w:ascii="Arial" w:hAnsi="Arial" w:cs="Arial"/>
          <w:b/>
          <w:sz w:val="22"/>
          <w:szCs w:val="22"/>
          <w:u w:val="single"/>
        </w:rPr>
        <w:t>s</w:t>
      </w:r>
    </w:p>
    <w:p w:rsidR="00C0258A" w:rsidRPr="009B12FF" w:rsidRDefault="00C0258A" w:rsidP="001B2FF4">
      <w:pPr>
        <w:rPr>
          <w:rFonts w:ascii="Arial" w:hAnsi="Arial" w:cs="Arial"/>
          <w:b/>
          <w:sz w:val="22"/>
          <w:szCs w:val="22"/>
          <w:u w:val="single"/>
        </w:rPr>
      </w:pPr>
    </w:p>
    <w:p w:rsidR="00F73A50" w:rsidRPr="009B12FF" w:rsidRDefault="00F73A50" w:rsidP="001B2FF4">
      <w:pPr>
        <w:jc w:val="both"/>
        <w:rPr>
          <w:rFonts w:ascii="Arial" w:hAnsi="Arial" w:cs="Arial"/>
          <w:b/>
          <w:sz w:val="22"/>
          <w:szCs w:val="22"/>
        </w:rPr>
      </w:pPr>
      <w:r w:rsidRPr="009B12FF">
        <w:rPr>
          <w:rFonts w:ascii="Arial" w:hAnsi="Arial" w:cs="Arial"/>
          <w:b/>
          <w:sz w:val="22"/>
          <w:szCs w:val="22"/>
        </w:rPr>
        <w:t>Indicador 1</w:t>
      </w:r>
    </w:p>
    <w:p w:rsidR="00F73A50" w:rsidRPr="009B12FF" w:rsidRDefault="00F73A50" w:rsidP="001B2FF4">
      <w:pPr>
        <w:ind w:left="360"/>
        <w:jc w:val="both"/>
        <w:rPr>
          <w:rFonts w:ascii="Arial" w:hAnsi="Arial" w:cs="Arial"/>
          <w:b/>
          <w:sz w:val="22"/>
          <w:szCs w:val="22"/>
        </w:rPr>
      </w:pPr>
      <w:r w:rsidRPr="009B12FF">
        <w:rPr>
          <w:rFonts w:ascii="Arial" w:hAnsi="Arial" w:cs="Arial"/>
          <w:b/>
          <w:sz w:val="22"/>
          <w:szCs w:val="22"/>
        </w:rPr>
        <w:t>Porcentaje de ingresos del período actual con respecto a los gastos del período (proceso-economía).</w:t>
      </w:r>
    </w:p>
    <w:tbl>
      <w:tblPr>
        <w:tblStyle w:val="Tablaconcuadrcula"/>
        <w:tblW w:w="8613" w:type="dxa"/>
        <w:jc w:val="center"/>
        <w:tblLayout w:type="fixed"/>
        <w:tblLook w:val="04A0" w:firstRow="1" w:lastRow="0" w:firstColumn="1" w:lastColumn="0" w:noHBand="0" w:noVBand="1"/>
      </w:tblPr>
      <w:tblGrid>
        <w:gridCol w:w="3811"/>
        <w:gridCol w:w="833"/>
        <w:gridCol w:w="1985"/>
        <w:gridCol w:w="1984"/>
      </w:tblGrid>
      <w:tr w:rsidR="00EA447A" w:rsidRPr="009B12FF" w:rsidTr="00560485">
        <w:trPr>
          <w:jc w:val="center"/>
        </w:trPr>
        <w:tc>
          <w:tcPr>
            <w:tcW w:w="3811" w:type="dxa"/>
            <w:vAlign w:val="center"/>
          </w:tcPr>
          <w:p w:rsidR="00EA447A" w:rsidRPr="009B12FF" w:rsidRDefault="00824B5B" w:rsidP="001B2FF4">
            <w:pPr>
              <w:jc w:val="center"/>
              <w:rPr>
                <w:rFonts w:ascii="Arial" w:hAnsi="Arial" w:cs="Arial"/>
                <w:b/>
                <w:sz w:val="22"/>
                <w:szCs w:val="22"/>
              </w:rPr>
            </w:pPr>
            <w:r w:rsidRPr="009B12FF">
              <w:rPr>
                <w:rFonts w:ascii="Arial" w:hAnsi="Arial" w:cs="Arial"/>
                <w:b/>
                <w:sz w:val="22"/>
                <w:szCs w:val="22"/>
              </w:rPr>
              <w:t>Fórmula del Indicador</w:t>
            </w:r>
          </w:p>
        </w:tc>
        <w:tc>
          <w:tcPr>
            <w:tcW w:w="833" w:type="dxa"/>
            <w:vAlign w:val="center"/>
          </w:tcPr>
          <w:p w:rsidR="00EA447A" w:rsidRPr="009B12FF" w:rsidRDefault="00EA447A" w:rsidP="001B2FF4">
            <w:pPr>
              <w:jc w:val="center"/>
              <w:rPr>
                <w:rFonts w:ascii="Arial" w:hAnsi="Arial" w:cs="Arial"/>
                <w:b/>
                <w:sz w:val="22"/>
                <w:szCs w:val="22"/>
              </w:rPr>
            </w:pPr>
            <w:r w:rsidRPr="009B12FF">
              <w:rPr>
                <w:rFonts w:ascii="Arial" w:hAnsi="Arial" w:cs="Arial"/>
                <w:b/>
                <w:sz w:val="22"/>
                <w:szCs w:val="22"/>
              </w:rPr>
              <w:t>Meta</w:t>
            </w:r>
          </w:p>
        </w:tc>
        <w:tc>
          <w:tcPr>
            <w:tcW w:w="1985" w:type="dxa"/>
            <w:vAlign w:val="center"/>
          </w:tcPr>
          <w:p w:rsidR="00EA447A" w:rsidRPr="009B12FF" w:rsidRDefault="00EA447A" w:rsidP="001B2FF4">
            <w:pPr>
              <w:jc w:val="center"/>
              <w:rPr>
                <w:rFonts w:ascii="Arial" w:hAnsi="Arial" w:cs="Arial"/>
                <w:b/>
                <w:sz w:val="22"/>
                <w:szCs w:val="22"/>
              </w:rPr>
            </w:pPr>
            <w:r w:rsidRPr="009B12FF">
              <w:rPr>
                <w:rFonts w:ascii="Arial" w:hAnsi="Arial" w:cs="Arial"/>
                <w:b/>
                <w:sz w:val="22"/>
                <w:szCs w:val="22"/>
              </w:rPr>
              <w:t>Real alcanzado</w:t>
            </w:r>
          </w:p>
        </w:tc>
        <w:tc>
          <w:tcPr>
            <w:tcW w:w="1984" w:type="dxa"/>
          </w:tcPr>
          <w:p w:rsidR="00EA447A" w:rsidRPr="009B12FF" w:rsidRDefault="00EA447A" w:rsidP="001B2FF4">
            <w:pPr>
              <w:jc w:val="center"/>
              <w:rPr>
                <w:rFonts w:ascii="Arial" w:hAnsi="Arial" w:cs="Arial"/>
                <w:b/>
                <w:sz w:val="22"/>
                <w:szCs w:val="22"/>
              </w:rPr>
            </w:pPr>
            <w:r w:rsidRPr="009B12FF">
              <w:rPr>
                <w:rFonts w:ascii="Arial" w:hAnsi="Arial" w:cs="Arial"/>
                <w:b/>
                <w:sz w:val="22"/>
                <w:szCs w:val="22"/>
              </w:rPr>
              <w:t>% Cumplimiento</w:t>
            </w:r>
          </w:p>
        </w:tc>
      </w:tr>
      <w:tr w:rsidR="00EA447A" w:rsidRPr="009B12FF" w:rsidTr="00877B90">
        <w:trPr>
          <w:jc w:val="center"/>
        </w:trPr>
        <w:tc>
          <w:tcPr>
            <w:tcW w:w="3811" w:type="dxa"/>
            <w:vAlign w:val="center"/>
          </w:tcPr>
          <w:p w:rsidR="00EA447A" w:rsidRPr="009B12FF" w:rsidRDefault="00E365DF" w:rsidP="001B2FF4">
            <w:pPr>
              <w:rPr>
                <w:rFonts w:ascii="Arial" w:hAnsi="Arial" w:cs="Arial"/>
                <w:sz w:val="22"/>
                <w:szCs w:val="22"/>
                <w:lang w:val="es-ES"/>
              </w:rPr>
            </w:pPr>
            <w:r w:rsidRPr="009B12FF">
              <w:rPr>
                <w:rFonts w:ascii="Arial" w:hAnsi="Arial" w:cs="Arial"/>
                <w:sz w:val="22"/>
                <w:szCs w:val="22"/>
                <w:lang w:val="es-ES"/>
              </w:rPr>
              <w:t>(I</w:t>
            </w:r>
            <w:r w:rsidR="00824B5B" w:rsidRPr="009B12FF">
              <w:rPr>
                <w:rFonts w:ascii="Arial" w:hAnsi="Arial" w:cs="Arial"/>
                <w:sz w:val="22"/>
                <w:szCs w:val="22"/>
                <w:lang w:val="es-ES"/>
              </w:rPr>
              <w:t>ngresos del periodo/ gastos presupuestados y ejecutados )*100</w:t>
            </w:r>
          </w:p>
        </w:tc>
        <w:tc>
          <w:tcPr>
            <w:tcW w:w="833" w:type="dxa"/>
            <w:vAlign w:val="center"/>
          </w:tcPr>
          <w:p w:rsidR="00EA447A" w:rsidRPr="009B12FF" w:rsidRDefault="00824B5B" w:rsidP="00052BD0">
            <w:pPr>
              <w:jc w:val="center"/>
              <w:rPr>
                <w:rFonts w:ascii="Arial" w:hAnsi="Arial" w:cs="Arial"/>
                <w:sz w:val="22"/>
                <w:szCs w:val="22"/>
              </w:rPr>
            </w:pPr>
            <w:r w:rsidRPr="009B12FF">
              <w:rPr>
                <w:rFonts w:ascii="Arial" w:hAnsi="Arial" w:cs="Arial"/>
                <w:sz w:val="22"/>
                <w:szCs w:val="22"/>
              </w:rPr>
              <w:t>30</w:t>
            </w:r>
            <w:r w:rsidR="00EA447A" w:rsidRPr="009B12FF">
              <w:rPr>
                <w:rFonts w:ascii="Arial" w:hAnsi="Arial" w:cs="Arial"/>
                <w:sz w:val="22"/>
                <w:szCs w:val="22"/>
              </w:rPr>
              <w:t>%</w:t>
            </w:r>
          </w:p>
        </w:tc>
        <w:tc>
          <w:tcPr>
            <w:tcW w:w="1985" w:type="dxa"/>
            <w:vAlign w:val="center"/>
          </w:tcPr>
          <w:p w:rsidR="00EA447A" w:rsidRPr="009B12FF" w:rsidRDefault="00095E2C" w:rsidP="00052BD0">
            <w:pPr>
              <w:jc w:val="center"/>
              <w:rPr>
                <w:rFonts w:ascii="Arial" w:hAnsi="Arial" w:cs="Arial"/>
                <w:sz w:val="22"/>
                <w:szCs w:val="22"/>
              </w:rPr>
            </w:pPr>
            <w:r w:rsidRPr="009B12FF">
              <w:rPr>
                <w:rFonts w:ascii="Arial" w:hAnsi="Arial" w:cs="Arial"/>
                <w:sz w:val="22"/>
                <w:szCs w:val="22"/>
              </w:rPr>
              <w:t>34,92</w:t>
            </w:r>
            <w:r w:rsidR="00EA447A" w:rsidRPr="009B12FF">
              <w:rPr>
                <w:rFonts w:ascii="Arial" w:hAnsi="Arial" w:cs="Arial"/>
                <w:sz w:val="22"/>
                <w:szCs w:val="22"/>
              </w:rPr>
              <w:t>%</w:t>
            </w:r>
          </w:p>
        </w:tc>
        <w:tc>
          <w:tcPr>
            <w:tcW w:w="1984" w:type="dxa"/>
            <w:vAlign w:val="center"/>
          </w:tcPr>
          <w:p w:rsidR="00EA447A" w:rsidRPr="009B12FF" w:rsidRDefault="001A4A40" w:rsidP="00052BD0">
            <w:pPr>
              <w:jc w:val="center"/>
              <w:rPr>
                <w:rFonts w:ascii="Arial" w:hAnsi="Arial" w:cs="Arial"/>
                <w:sz w:val="22"/>
                <w:szCs w:val="22"/>
              </w:rPr>
            </w:pPr>
            <w:r w:rsidRPr="009B12FF">
              <w:rPr>
                <w:rFonts w:ascii="Arial" w:hAnsi="Arial" w:cs="Arial"/>
                <w:sz w:val="22"/>
                <w:szCs w:val="22"/>
              </w:rPr>
              <w:t>116.4%</w:t>
            </w:r>
          </w:p>
        </w:tc>
      </w:tr>
    </w:tbl>
    <w:p w:rsidR="00F73A50" w:rsidRPr="009B12FF" w:rsidRDefault="00F73A50" w:rsidP="001B2FF4">
      <w:pPr>
        <w:jc w:val="both"/>
        <w:rPr>
          <w:rFonts w:ascii="Arial" w:hAnsi="Arial" w:cs="Arial"/>
          <w:sz w:val="22"/>
          <w:szCs w:val="22"/>
        </w:rPr>
      </w:pPr>
    </w:p>
    <w:p w:rsidR="00F73A50" w:rsidRPr="009B12FF" w:rsidRDefault="00F73A50" w:rsidP="001B2FF4">
      <w:pPr>
        <w:jc w:val="both"/>
        <w:rPr>
          <w:rFonts w:ascii="Arial" w:hAnsi="Arial" w:cs="Arial"/>
          <w:sz w:val="22"/>
          <w:szCs w:val="22"/>
        </w:rPr>
      </w:pPr>
      <w:r w:rsidRPr="009B12FF">
        <w:rPr>
          <w:rFonts w:ascii="Arial" w:hAnsi="Arial" w:cs="Arial"/>
          <w:sz w:val="22"/>
          <w:szCs w:val="22"/>
        </w:rPr>
        <w:t xml:space="preserve">Para este indicador se proyectó un cumplimiento del 30% de los ingresos como aporte a los gastos relacionados con los servicios que se brindan en los camposantos, </w:t>
      </w:r>
      <w:r w:rsidR="0055124F" w:rsidRPr="009B12FF">
        <w:rPr>
          <w:rFonts w:ascii="Arial" w:hAnsi="Arial" w:cs="Arial"/>
          <w:sz w:val="22"/>
          <w:szCs w:val="22"/>
        </w:rPr>
        <w:t>corresponde un ingreso de ¢260.623.314 y un g</w:t>
      </w:r>
      <w:r w:rsidR="00EB5938" w:rsidRPr="009B12FF">
        <w:rPr>
          <w:rFonts w:ascii="Arial" w:hAnsi="Arial" w:cs="Arial"/>
          <w:sz w:val="22"/>
          <w:szCs w:val="22"/>
        </w:rPr>
        <w:t>asto ejecutado de ¢746.450.651.</w:t>
      </w:r>
    </w:p>
    <w:p w:rsidR="00EB5938" w:rsidRPr="009B12FF" w:rsidRDefault="00EB5938" w:rsidP="001B2FF4">
      <w:pPr>
        <w:jc w:val="both"/>
        <w:rPr>
          <w:rFonts w:ascii="Arial" w:hAnsi="Arial" w:cs="Arial"/>
          <w:sz w:val="22"/>
          <w:szCs w:val="22"/>
        </w:rPr>
      </w:pPr>
    </w:p>
    <w:p w:rsidR="00A03B1D" w:rsidRPr="009B12FF" w:rsidRDefault="00F73A50" w:rsidP="001B2FF4">
      <w:pPr>
        <w:jc w:val="both"/>
        <w:rPr>
          <w:rFonts w:ascii="Arial" w:hAnsi="Arial" w:cs="Arial"/>
          <w:sz w:val="22"/>
          <w:szCs w:val="22"/>
        </w:rPr>
      </w:pPr>
      <w:r w:rsidRPr="009B12FF">
        <w:rPr>
          <w:rFonts w:ascii="Arial" w:hAnsi="Arial" w:cs="Arial"/>
          <w:sz w:val="22"/>
          <w:szCs w:val="22"/>
        </w:rPr>
        <w:t xml:space="preserve">El porcentaje </w:t>
      </w:r>
      <w:r w:rsidR="0055124F" w:rsidRPr="009B12FF">
        <w:rPr>
          <w:rFonts w:ascii="Arial" w:hAnsi="Arial" w:cs="Arial"/>
          <w:sz w:val="22"/>
          <w:szCs w:val="22"/>
        </w:rPr>
        <w:t xml:space="preserve">alcanza el 116.4% </w:t>
      </w:r>
      <w:r w:rsidRPr="009B12FF">
        <w:rPr>
          <w:rFonts w:ascii="Arial" w:hAnsi="Arial" w:cs="Arial"/>
          <w:sz w:val="22"/>
          <w:szCs w:val="22"/>
        </w:rPr>
        <w:t>considerándose meta cumplida.  Este indicador refleja el subsidio que la Junta de Protección Social brinda a los Camposantos, como un objetivo social, cumpliendo con la Ley 8718, mostrando lo que éstos financian con ingresos propios y su diferencia financiado por la Institución</w:t>
      </w:r>
      <w:r w:rsidR="00560485" w:rsidRPr="009B12FF">
        <w:rPr>
          <w:rFonts w:ascii="Arial" w:hAnsi="Arial" w:cs="Arial"/>
          <w:sz w:val="22"/>
          <w:szCs w:val="22"/>
        </w:rPr>
        <w:t>.</w:t>
      </w:r>
    </w:p>
    <w:p w:rsidR="00560485" w:rsidRPr="009B12FF" w:rsidRDefault="00560485" w:rsidP="001B2FF4">
      <w:pPr>
        <w:jc w:val="both"/>
        <w:rPr>
          <w:rFonts w:ascii="Arial" w:hAnsi="Arial" w:cs="Arial"/>
          <w:b/>
          <w:sz w:val="22"/>
          <w:szCs w:val="22"/>
        </w:rPr>
      </w:pPr>
    </w:p>
    <w:p w:rsidR="00F73A50" w:rsidRPr="009B12FF" w:rsidRDefault="00560485" w:rsidP="001B2FF4">
      <w:pPr>
        <w:jc w:val="both"/>
        <w:rPr>
          <w:rFonts w:ascii="Arial" w:hAnsi="Arial" w:cs="Arial"/>
          <w:b/>
          <w:sz w:val="22"/>
          <w:szCs w:val="22"/>
        </w:rPr>
      </w:pPr>
      <w:r w:rsidRPr="009B12FF">
        <w:rPr>
          <w:rFonts w:ascii="Arial" w:hAnsi="Arial" w:cs="Arial"/>
          <w:b/>
          <w:sz w:val="22"/>
          <w:szCs w:val="22"/>
        </w:rPr>
        <w:t>Aspectos positivos internos</w:t>
      </w:r>
    </w:p>
    <w:p w:rsidR="00F3150B" w:rsidRPr="009B12FF" w:rsidRDefault="00F3150B" w:rsidP="001B2FF4">
      <w:pPr>
        <w:jc w:val="both"/>
        <w:rPr>
          <w:rFonts w:ascii="Arial" w:hAnsi="Arial" w:cs="Arial"/>
          <w:b/>
          <w:sz w:val="22"/>
          <w:szCs w:val="22"/>
        </w:rPr>
      </w:pPr>
    </w:p>
    <w:p w:rsidR="00F73A50" w:rsidRPr="009B12FF" w:rsidRDefault="00F73A50" w:rsidP="001B2FF4">
      <w:pPr>
        <w:jc w:val="both"/>
        <w:rPr>
          <w:rFonts w:ascii="Arial" w:hAnsi="Arial" w:cs="Arial"/>
          <w:sz w:val="22"/>
          <w:szCs w:val="22"/>
        </w:rPr>
      </w:pPr>
      <w:r w:rsidRPr="009B12FF">
        <w:rPr>
          <w:rFonts w:ascii="Arial" w:hAnsi="Arial" w:cs="Arial"/>
          <w:sz w:val="22"/>
          <w:szCs w:val="22"/>
        </w:rPr>
        <w:t>Este indicador refleja a la ciudadanía el subsidio que da la Institución a los Camposantos como Programa Social.</w:t>
      </w:r>
    </w:p>
    <w:p w:rsidR="000D6D85" w:rsidRPr="009B12FF" w:rsidRDefault="000D6D85" w:rsidP="001B2FF4">
      <w:pPr>
        <w:jc w:val="both"/>
        <w:rPr>
          <w:rFonts w:ascii="Arial" w:hAnsi="Arial" w:cs="Arial"/>
          <w:sz w:val="22"/>
          <w:szCs w:val="22"/>
        </w:rPr>
      </w:pPr>
    </w:p>
    <w:p w:rsidR="000D6D85" w:rsidRPr="009B12FF" w:rsidRDefault="000D6D85" w:rsidP="001B2FF4">
      <w:pPr>
        <w:jc w:val="both"/>
        <w:rPr>
          <w:rFonts w:ascii="Arial" w:hAnsi="Arial" w:cs="Arial"/>
          <w:sz w:val="22"/>
          <w:szCs w:val="22"/>
        </w:rPr>
      </w:pPr>
    </w:p>
    <w:p w:rsidR="0034355F" w:rsidRPr="009B12FF" w:rsidRDefault="0034355F" w:rsidP="001B2FF4">
      <w:pPr>
        <w:jc w:val="both"/>
        <w:rPr>
          <w:rFonts w:ascii="Arial" w:hAnsi="Arial" w:cs="Arial"/>
          <w:b/>
          <w:sz w:val="22"/>
          <w:szCs w:val="22"/>
        </w:rPr>
      </w:pPr>
    </w:p>
    <w:p w:rsidR="00F73A50" w:rsidRPr="009B12FF" w:rsidRDefault="00560485" w:rsidP="001B2FF4">
      <w:pPr>
        <w:jc w:val="both"/>
        <w:rPr>
          <w:rFonts w:ascii="Arial" w:hAnsi="Arial" w:cs="Arial"/>
          <w:b/>
          <w:sz w:val="22"/>
          <w:szCs w:val="22"/>
        </w:rPr>
      </w:pPr>
      <w:r w:rsidRPr="009B12FF">
        <w:rPr>
          <w:rFonts w:ascii="Arial" w:hAnsi="Arial" w:cs="Arial"/>
          <w:b/>
          <w:sz w:val="22"/>
          <w:szCs w:val="22"/>
        </w:rPr>
        <w:t>Aspectos negativos internos</w:t>
      </w:r>
    </w:p>
    <w:p w:rsidR="00F3150B" w:rsidRPr="009B12FF" w:rsidRDefault="00F3150B" w:rsidP="001B2FF4">
      <w:pPr>
        <w:jc w:val="both"/>
        <w:rPr>
          <w:rFonts w:ascii="Arial" w:hAnsi="Arial" w:cs="Arial"/>
          <w:b/>
          <w:sz w:val="22"/>
          <w:szCs w:val="22"/>
        </w:rPr>
      </w:pPr>
    </w:p>
    <w:p w:rsidR="0055124F" w:rsidRPr="009B12FF" w:rsidRDefault="0055124F" w:rsidP="001B2FF4">
      <w:pPr>
        <w:jc w:val="both"/>
        <w:rPr>
          <w:rFonts w:ascii="Arial" w:hAnsi="Arial" w:cs="Arial"/>
          <w:sz w:val="22"/>
          <w:szCs w:val="22"/>
        </w:rPr>
      </w:pPr>
      <w:r w:rsidRPr="009B12FF">
        <w:rPr>
          <w:rFonts w:ascii="Arial" w:hAnsi="Arial" w:cs="Arial"/>
          <w:sz w:val="22"/>
          <w:szCs w:val="22"/>
        </w:rPr>
        <w:t>El 65.08% de los gastos han sido subsidiados por la instit</w:t>
      </w:r>
      <w:r w:rsidR="00036FF9" w:rsidRPr="009B12FF">
        <w:rPr>
          <w:rFonts w:ascii="Arial" w:hAnsi="Arial" w:cs="Arial"/>
          <w:sz w:val="22"/>
          <w:szCs w:val="22"/>
        </w:rPr>
        <w:t xml:space="preserve">ución; debido a que la demanda </w:t>
      </w:r>
      <w:r w:rsidRPr="009B12FF">
        <w:rPr>
          <w:rFonts w:ascii="Arial" w:hAnsi="Arial" w:cs="Arial"/>
          <w:sz w:val="22"/>
          <w:szCs w:val="22"/>
        </w:rPr>
        <w:t>de terrenos en los camposantos no ha sido la esperada,  disminuyendo el porcentaje alcanzado al finalizar el año,  ya que se sumaron los  ingresos  por</w:t>
      </w:r>
      <w:r w:rsidR="00036FF9" w:rsidRPr="009B12FF">
        <w:rPr>
          <w:rFonts w:ascii="Arial" w:hAnsi="Arial" w:cs="Arial"/>
          <w:sz w:val="22"/>
          <w:szCs w:val="22"/>
        </w:rPr>
        <w:t xml:space="preserve"> nichos prefabricados colocados </w:t>
      </w:r>
      <w:r w:rsidRPr="009B12FF">
        <w:rPr>
          <w:rFonts w:ascii="Arial" w:hAnsi="Arial" w:cs="Arial"/>
          <w:sz w:val="22"/>
          <w:szCs w:val="22"/>
        </w:rPr>
        <w:t>y man</w:t>
      </w:r>
      <w:r w:rsidR="00036FF9" w:rsidRPr="009B12FF">
        <w:rPr>
          <w:rFonts w:ascii="Arial" w:hAnsi="Arial" w:cs="Arial"/>
          <w:sz w:val="22"/>
          <w:szCs w:val="22"/>
        </w:rPr>
        <w:t xml:space="preserve">tenimiento a los arrendatarios </w:t>
      </w:r>
      <w:r w:rsidRPr="009B12FF">
        <w:rPr>
          <w:rFonts w:ascii="Arial" w:hAnsi="Arial" w:cs="Arial"/>
          <w:sz w:val="22"/>
          <w:szCs w:val="22"/>
        </w:rPr>
        <w:t>que cancelaron  por a</w:t>
      </w:r>
      <w:r w:rsidR="00036FF9" w:rsidRPr="009B12FF">
        <w:rPr>
          <w:rFonts w:ascii="Arial" w:hAnsi="Arial" w:cs="Arial"/>
          <w:sz w:val="22"/>
          <w:szCs w:val="22"/>
        </w:rPr>
        <w:t xml:space="preserve">delantado, esta es  una de las </w:t>
      </w:r>
      <w:r w:rsidRPr="009B12FF">
        <w:rPr>
          <w:rFonts w:ascii="Arial" w:hAnsi="Arial" w:cs="Arial"/>
          <w:sz w:val="22"/>
          <w:szCs w:val="22"/>
        </w:rPr>
        <w:t>condiciones para que este  indicador muestre la realidad financiera de los cementerios. Esto porque todo ingreso que se recibe por anticipado se debe contabilizar como pasivo y cuando se entregue lo pactado o se preste el servicio acordado se convertirá en ingreso, para lo cual se debita el pasivo y se acredita el ingreso.</w:t>
      </w:r>
    </w:p>
    <w:p w:rsidR="0034355F" w:rsidRPr="009B12FF" w:rsidRDefault="0034355F" w:rsidP="001B2FF4">
      <w:pPr>
        <w:jc w:val="both"/>
        <w:rPr>
          <w:rFonts w:ascii="Arial" w:hAnsi="Arial" w:cs="Arial"/>
          <w:b/>
          <w:sz w:val="22"/>
          <w:szCs w:val="22"/>
        </w:rPr>
      </w:pPr>
    </w:p>
    <w:p w:rsidR="00F73A50" w:rsidRPr="009B12FF" w:rsidRDefault="00F73A50" w:rsidP="001B2FF4">
      <w:pPr>
        <w:jc w:val="both"/>
        <w:rPr>
          <w:rFonts w:ascii="Arial" w:hAnsi="Arial" w:cs="Arial"/>
          <w:b/>
          <w:sz w:val="22"/>
          <w:szCs w:val="22"/>
        </w:rPr>
      </w:pPr>
      <w:r w:rsidRPr="009B12FF">
        <w:rPr>
          <w:rFonts w:ascii="Arial" w:hAnsi="Arial" w:cs="Arial"/>
          <w:b/>
          <w:sz w:val="22"/>
          <w:szCs w:val="22"/>
        </w:rPr>
        <w:t>Como incidió en la entrega de bienes y servicios.</w:t>
      </w:r>
    </w:p>
    <w:p w:rsidR="00F3150B" w:rsidRPr="009B12FF" w:rsidRDefault="00F3150B" w:rsidP="001B2FF4">
      <w:pPr>
        <w:jc w:val="both"/>
        <w:rPr>
          <w:rFonts w:ascii="Arial" w:hAnsi="Arial" w:cs="Arial"/>
          <w:b/>
          <w:sz w:val="22"/>
          <w:szCs w:val="22"/>
        </w:rPr>
      </w:pPr>
    </w:p>
    <w:p w:rsidR="00F73A50" w:rsidRPr="009B12FF" w:rsidRDefault="00F73A50" w:rsidP="001B2FF4">
      <w:pPr>
        <w:jc w:val="both"/>
        <w:rPr>
          <w:rFonts w:ascii="Arial" w:hAnsi="Arial" w:cs="Arial"/>
          <w:sz w:val="22"/>
          <w:szCs w:val="22"/>
        </w:rPr>
      </w:pPr>
      <w:r w:rsidRPr="009B12FF">
        <w:rPr>
          <w:rFonts w:ascii="Arial" w:hAnsi="Arial" w:cs="Arial"/>
          <w:sz w:val="22"/>
          <w:szCs w:val="22"/>
        </w:rPr>
        <w:t xml:space="preserve">La prestación de los servicios incidió positivamente en la atención de los arrendatarios de los diferentes servicios que se prestan en los camposantos. </w:t>
      </w:r>
    </w:p>
    <w:p w:rsidR="00F73A50" w:rsidRPr="009B12FF" w:rsidRDefault="00F73A50" w:rsidP="001B2FF4">
      <w:pPr>
        <w:jc w:val="both"/>
        <w:rPr>
          <w:rFonts w:ascii="Arial" w:hAnsi="Arial" w:cs="Arial"/>
          <w:sz w:val="22"/>
          <w:szCs w:val="22"/>
        </w:rPr>
      </w:pPr>
      <w:r w:rsidRPr="009B12FF">
        <w:rPr>
          <w:rFonts w:ascii="Arial" w:hAnsi="Arial" w:cs="Arial"/>
          <w:sz w:val="22"/>
          <w:szCs w:val="22"/>
        </w:rPr>
        <w:t>De esta manera esta instancia prioriza la atención de los usuarios, tomando en cuenta criterios tales como:</w:t>
      </w:r>
    </w:p>
    <w:p w:rsidR="00807E28" w:rsidRPr="009B12FF" w:rsidRDefault="00807E28" w:rsidP="001B2FF4">
      <w:pPr>
        <w:jc w:val="both"/>
        <w:rPr>
          <w:rFonts w:ascii="Arial" w:hAnsi="Arial" w:cs="Arial"/>
          <w:sz w:val="22"/>
          <w:szCs w:val="22"/>
        </w:rPr>
      </w:pPr>
    </w:p>
    <w:p w:rsidR="00F73A50" w:rsidRPr="009B12FF" w:rsidRDefault="00F73A50" w:rsidP="001B2FF4">
      <w:pPr>
        <w:pStyle w:val="Prrafodelista"/>
        <w:numPr>
          <w:ilvl w:val="0"/>
          <w:numId w:val="26"/>
        </w:numPr>
        <w:spacing w:after="0" w:line="240" w:lineRule="auto"/>
        <w:jc w:val="both"/>
        <w:rPr>
          <w:rFonts w:ascii="Arial" w:hAnsi="Arial" w:cs="Arial"/>
        </w:rPr>
      </w:pPr>
      <w:r w:rsidRPr="009B12FF">
        <w:rPr>
          <w:rFonts w:ascii="Arial" w:hAnsi="Arial" w:cs="Arial"/>
        </w:rPr>
        <w:t xml:space="preserve">Mejoramiento en las instalaciones. </w:t>
      </w:r>
    </w:p>
    <w:p w:rsidR="00F73A50" w:rsidRPr="009B12FF" w:rsidRDefault="00F73A50" w:rsidP="001B2FF4">
      <w:pPr>
        <w:pStyle w:val="Prrafodelista"/>
        <w:numPr>
          <w:ilvl w:val="0"/>
          <w:numId w:val="26"/>
        </w:numPr>
        <w:spacing w:after="0" w:line="240" w:lineRule="auto"/>
        <w:jc w:val="both"/>
        <w:rPr>
          <w:rFonts w:ascii="Arial" w:hAnsi="Arial" w:cs="Arial"/>
        </w:rPr>
      </w:pPr>
      <w:r w:rsidRPr="009B12FF">
        <w:rPr>
          <w:rFonts w:ascii="Arial" w:hAnsi="Arial" w:cs="Arial"/>
        </w:rPr>
        <w:t>Bajas cuotas de mantenimiento.</w:t>
      </w:r>
    </w:p>
    <w:p w:rsidR="00F73A50" w:rsidRPr="009B12FF" w:rsidRDefault="00F73A50" w:rsidP="001B2FF4">
      <w:pPr>
        <w:pStyle w:val="Prrafodelista"/>
        <w:numPr>
          <w:ilvl w:val="0"/>
          <w:numId w:val="26"/>
        </w:numPr>
        <w:spacing w:after="0" w:line="240" w:lineRule="auto"/>
        <w:jc w:val="both"/>
        <w:rPr>
          <w:rFonts w:ascii="Arial" w:hAnsi="Arial" w:cs="Arial"/>
        </w:rPr>
      </w:pPr>
      <w:r w:rsidRPr="009B12FF">
        <w:rPr>
          <w:rFonts w:ascii="Arial" w:hAnsi="Arial" w:cs="Arial"/>
        </w:rPr>
        <w:t>Mejoramiento en la calidad de los servicios que se prestan.</w:t>
      </w:r>
    </w:p>
    <w:p w:rsidR="00491716" w:rsidRPr="009B12FF" w:rsidRDefault="00491716" w:rsidP="001B2FF4">
      <w:pPr>
        <w:jc w:val="both"/>
        <w:rPr>
          <w:rFonts w:ascii="Arial" w:hAnsi="Arial" w:cs="Arial"/>
          <w:sz w:val="22"/>
          <w:szCs w:val="22"/>
        </w:rPr>
      </w:pPr>
    </w:p>
    <w:p w:rsidR="00F73A50" w:rsidRPr="009B12FF" w:rsidRDefault="00F73A50" w:rsidP="001B2FF4">
      <w:pPr>
        <w:jc w:val="both"/>
        <w:rPr>
          <w:rFonts w:ascii="Arial" w:hAnsi="Arial" w:cs="Arial"/>
          <w:b/>
          <w:sz w:val="22"/>
          <w:szCs w:val="22"/>
        </w:rPr>
      </w:pPr>
      <w:r w:rsidRPr="009B12FF">
        <w:rPr>
          <w:rFonts w:ascii="Arial" w:hAnsi="Arial" w:cs="Arial"/>
          <w:b/>
          <w:sz w:val="22"/>
          <w:szCs w:val="22"/>
        </w:rPr>
        <w:t>Indicador 2</w:t>
      </w:r>
    </w:p>
    <w:p w:rsidR="00F73A50" w:rsidRPr="009B12FF" w:rsidRDefault="00F73A50" w:rsidP="001B2FF4">
      <w:pPr>
        <w:ind w:left="708"/>
        <w:jc w:val="both"/>
        <w:rPr>
          <w:rFonts w:ascii="Arial" w:hAnsi="Arial" w:cs="Arial"/>
          <w:b/>
          <w:sz w:val="22"/>
          <w:szCs w:val="22"/>
        </w:rPr>
      </w:pPr>
      <w:r w:rsidRPr="009B12FF">
        <w:rPr>
          <w:rFonts w:ascii="Arial" w:hAnsi="Arial" w:cs="Arial"/>
          <w:b/>
          <w:sz w:val="22"/>
          <w:szCs w:val="22"/>
        </w:rPr>
        <w:t>Porcentaje de clientes encuestados satisfechos con los servicios de los Camposantos en el período actual, respecto al total de clientes encuestados en los Camposantos en el período actual (producto-calidad).</w:t>
      </w:r>
    </w:p>
    <w:p w:rsidR="00EA447A" w:rsidRPr="009B12FF" w:rsidRDefault="00EA447A" w:rsidP="001B2FF4">
      <w:pPr>
        <w:ind w:left="708"/>
        <w:jc w:val="both"/>
        <w:rPr>
          <w:rFonts w:ascii="Arial" w:hAnsi="Arial" w:cs="Arial"/>
          <w:b/>
          <w:sz w:val="22"/>
          <w:szCs w:val="22"/>
        </w:rPr>
      </w:pPr>
    </w:p>
    <w:tbl>
      <w:tblPr>
        <w:tblStyle w:val="Tablaconcuadrcula"/>
        <w:tblW w:w="8613" w:type="dxa"/>
        <w:jc w:val="center"/>
        <w:tblLayout w:type="fixed"/>
        <w:tblLook w:val="04A0" w:firstRow="1" w:lastRow="0" w:firstColumn="1" w:lastColumn="0" w:noHBand="0" w:noVBand="1"/>
      </w:tblPr>
      <w:tblGrid>
        <w:gridCol w:w="3652"/>
        <w:gridCol w:w="992"/>
        <w:gridCol w:w="1985"/>
        <w:gridCol w:w="1984"/>
      </w:tblGrid>
      <w:tr w:rsidR="00EA447A" w:rsidRPr="009B12FF" w:rsidTr="00560485">
        <w:trPr>
          <w:jc w:val="center"/>
        </w:trPr>
        <w:tc>
          <w:tcPr>
            <w:tcW w:w="3652" w:type="dxa"/>
            <w:vAlign w:val="center"/>
          </w:tcPr>
          <w:p w:rsidR="00EA447A" w:rsidRPr="009B12FF" w:rsidRDefault="00824B5B" w:rsidP="001B2FF4">
            <w:pPr>
              <w:jc w:val="center"/>
              <w:rPr>
                <w:rFonts w:ascii="Arial" w:hAnsi="Arial" w:cs="Arial"/>
                <w:b/>
                <w:sz w:val="22"/>
                <w:szCs w:val="22"/>
              </w:rPr>
            </w:pPr>
            <w:r w:rsidRPr="009B12FF">
              <w:rPr>
                <w:rFonts w:ascii="Arial" w:hAnsi="Arial" w:cs="Arial"/>
                <w:b/>
                <w:sz w:val="22"/>
                <w:szCs w:val="22"/>
              </w:rPr>
              <w:t>Fórmula del Indicador</w:t>
            </w:r>
          </w:p>
        </w:tc>
        <w:tc>
          <w:tcPr>
            <w:tcW w:w="992" w:type="dxa"/>
            <w:vAlign w:val="center"/>
          </w:tcPr>
          <w:p w:rsidR="00EA447A" w:rsidRPr="009B12FF" w:rsidRDefault="00EA447A" w:rsidP="001B2FF4">
            <w:pPr>
              <w:jc w:val="center"/>
              <w:rPr>
                <w:rFonts w:ascii="Arial" w:hAnsi="Arial" w:cs="Arial"/>
                <w:b/>
                <w:sz w:val="22"/>
                <w:szCs w:val="22"/>
              </w:rPr>
            </w:pPr>
            <w:r w:rsidRPr="009B12FF">
              <w:rPr>
                <w:rFonts w:ascii="Arial" w:hAnsi="Arial" w:cs="Arial"/>
                <w:b/>
                <w:sz w:val="22"/>
                <w:szCs w:val="22"/>
              </w:rPr>
              <w:t>Meta</w:t>
            </w:r>
          </w:p>
        </w:tc>
        <w:tc>
          <w:tcPr>
            <w:tcW w:w="1985" w:type="dxa"/>
            <w:vAlign w:val="center"/>
          </w:tcPr>
          <w:p w:rsidR="00EA447A" w:rsidRPr="009B12FF" w:rsidRDefault="00EA447A" w:rsidP="001B2FF4">
            <w:pPr>
              <w:jc w:val="center"/>
              <w:rPr>
                <w:rFonts w:ascii="Arial" w:hAnsi="Arial" w:cs="Arial"/>
                <w:b/>
                <w:sz w:val="22"/>
                <w:szCs w:val="22"/>
              </w:rPr>
            </w:pPr>
            <w:r w:rsidRPr="009B12FF">
              <w:rPr>
                <w:rFonts w:ascii="Arial" w:hAnsi="Arial" w:cs="Arial"/>
                <w:b/>
                <w:sz w:val="22"/>
                <w:szCs w:val="22"/>
              </w:rPr>
              <w:t>Real alcanzado</w:t>
            </w:r>
          </w:p>
        </w:tc>
        <w:tc>
          <w:tcPr>
            <w:tcW w:w="1984" w:type="dxa"/>
          </w:tcPr>
          <w:p w:rsidR="00EA447A" w:rsidRPr="009B12FF" w:rsidRDefault="00EA447A" w:rsidP="001B2FF4">
            <w:pPr>
              <w:jc w:val="center"/>
              <w:rPr>
                <w:rFonts w:ascii="Arial" w:hAnsi="Arial" w:cs="Arial"/>
                <w:b/>
                <w:sz w:val="22"/>
                <w:szCs w:val="22"/>
              </w:rPr>
            </w:pPr>
            <w:r w:rsidRPr="009B12FF">
              <w:rPr>
                <w:rFonts w:ascii="Arial" w:hAnsi="Arial" w:cs="Arial"/>
                <w:b/>
                <w:sz w:val="22"/>
                <w:szCs w:val="22"/>
              </w:rPr>
              <w:t>% Cumplimiento</w:t>
            </w:r>
          </w:p>
        </w:tc>
      </w:tr>
      <w:tr w:rsidR="00EA447A" w:rsidRPr="009B12FF" w:rsidTr="00560485">
        <w:trPr>
          <w:jc w:val="center"/>
        </w:trPr>
        <w:tc>
          <w:tcPr>
            <w:tcW w:w="3652" w:type="dxa"/>
            <w:vAlign w:val="center"/>
          </w:tcPr>
          <w:p w:rsidR="00EA447A" w:rsidRPr="009B12FF" w:rsidRDefault="00824B5B" w:rsidP="001B2FF4">
            <w:pPr>
              <w:rPr>
                <w:rFonts w:ascii="Arial" w:hAnsi="Arial" w:cs="Arial"/>
                <w:sz w:val="22"/>
                <w:szCs w:val="22"/>
                <w:lang w:val="es-ES"/>
              </w:rPr>
            </w:pPr>
            <w:r w:rsidRPr="009B12FF">
              <w:rPr>
                <w:rFonts w:ascii="Arial" w:hAnsi="Arial" w:cs="Arial"/>
                <w:sz w:val="22"/>
                <w:szCs w:val="22"/>
                <w:lang w:val="es-ES"/>
              </w:rPr>
              <w:t>(Clientes encuestados satisfechos/Total de clientes encuestados)*100</w:t>
            </w:r>
          </w:p>
        </w:tc>
        <w:tc>
          <w:tcPr>
            <w:tcW w:w="992" w:type="dxa"/>
            <w:vAlign w:val="center"/>
          </w:tcPr>
          <w:p w:rsidR="00EA447A" w:rsidRPr="009B12FF" w:rsidRDefault="00824B5B" w:rsidP="001B2FF4">
            <w:pPr>
              <w:jc w:val="center"/>
              <w:rPr>
                <w:rFonts w:ascii="Arial" w:hAnsi="Arial" w:cs="Arial"/>
                <w:sz w:val="22"/>
                <w:szCs w:val="22"/>
              </w:rPr>
            </w:pPr>
            <w:r w:rsidRPr="009B12FF">
              <w:rPr>
                <w:rFonts w:ascii="Arial" w:hAnsi="Arial" w:cs="Arial"/>
                <w:sz w:val="22"/>
                <w:szCs w:val="22"/>
              </w:rPr>
              <w:t>90</w:t>
            </w:r>
            <w:r w:rsidR="00EA447A" w:rsidRPr="009B12FF">
              <w:rPr>
                <w:rFonts w:ascii="Arial" w:hAnsi="Arial" w:cs="Arial"/>
                <w:sz w:val="22"/>
                <w:szCs w:val="22"/>
              </w:rPr>
              <w:t>%</w:t>
            </w:r>
          </w:p>
        </w:tc>
        <w:tc>
          <w:tcPr>
            <w:tcW w:w="1985" w:type="dxa"/>
            <w:vAlign w:val="center"/>
          </w:tcPr>
          <w:p w:rsidR="00EA447A" w:rsidRPr="009B12FF" w:rsidRDefault="00A02522" w:rsidP="001B2FF4">
            <w:pPr>
              <w:jc w:val="center"/>
              <w:rPr>
                <w:rFonts w:ascii="Arial" w:hAnsi="Arial" w:cs="Arial"/>
                <w:sz w:val="22"/>
                <w:szCs w:val="22"/>
              </w:rPr>
            </w:pPr>
            <w:r w:rsidRPr="009B12FF">
              <w:rPr>
                <w:rFonts w:ascii="Arial" w:hAnsi="Arial" w:cs="Arial"/>
                <w:sz w:val="22"/>
                <w:szCs w:val="22"/>
              </w:rPr>
              <w:t>9</w:t>
            </w:r>
            <w:r w:rsidR="00335E15" w:rsidRPr="009B12FF">
              <w:rPr>
                <w:rFonts w:ascii="Arial" w:hAnsi="Arial" w:cs="Arial"/>
                <w:sz w:val="22"/>
                <w:szCs w:val="22"/>
              </w:rPr>
              <w:t>9.98</w:t>
            </w:r>
            <w:r w:rsidRPr="009B12FF">
              <w:rPr>
                <w:rFonts w:ascii="Arial" w:hAnsi="Arial" w:cs="Arial"/>
                <w:sz w:val="22"/>
                <w:szCs w:val="22"/>
              </w:rPr>
              <w:t>%</w:t>
            </w:r>
          </w:p>
        </w:tc>
        <w:tc>
          <w:tcPr>
            <w:tcW w:w="1984" w:type="dxa"/>
          </w:tcPr>
          <w:p w:rsidR="00EB5938" w:rsidRPr="009B12FF" w:rsidRDefault="00EB5938" w:rsidP="001B2FF4">
            <w:pPr>
              <w:jc w:val="center"/>
              <w:rPr>
                <w:rFonts w:ascii="Arial" w:hAnsi="Arial" w:cs="Arial"/>
                <w:sz w:val="22"/>
                <w:szCs w:val="22"/>
              </w:rPr>
            </w:pPr>
          </w:p>
          <w:p w:rsidR="00EA447A" w:rsidRPr="009B12FF" w:rsidRDefault="00A02522" w:rsidP="001B2FF4">
            <w:pPr>
              <w:jc w:val="center"/>
              <w:rPr>
                <w:rFonts w:ascii="Arial" w:hAnsi="Arial" w:cs="Arial"/>
                <w:sz w:val="22"/>
                <w:szCs w:val="22"/>
              </w:rPr>
            </w:pPr>
            <w:r w:rsidRPr="009B12FF">
              <w:rPr>
                <w:rFonts w:ascii="Arial" w:hAnsi="Arial" w:cs="Arial"/>
                <w:sz w:val="22"/>
                <w:szCs w:val="22"/>
              </w:rPr>
              <w:t>111.09%</w:t>
            </w:r>
          </w:p>
        </w:tc>
      </w:tr>
    </w:tbl>
    <w:p w:rsidR="00F73A50" w:rsidRPr="009B12FF" w:rsidRDefault="00F73A50" w:rsidP="001B2FF4">
      <w:pPr>
        <w:jc w:val="both"/>
        <w:rPr>
          <w:rFonts w:ascii="Arial" w:hAnsi="Arial" w:cs="Arial"/>
          <w:b/>
          <w:sz w:val="22"/>
          <w:szCs w:val="22"/>
        </w:rPr>
      </w:pPr>
    </w:p>
    <w:p w:rsidR="00F73A50" w:rsidRPr="009B12FF" w:rsidRDefault="00A03B1D" w:rsidP="001B2FF4">
      <w:pPr>
        <w:jc w:val="both"/>
        <w:rPr>
          <w:rFonts w:ascii="Arial" w:hAnsi="Arial" w:cs="Arial"/>
          <w:sz w:val="22"/>
          <w:szCs w:val="22"/>
        </w:rPr>
      </w:pPr>
      <w:r w:rsidRPr="009B12FF">
        <w:rPr>
          <w:rFonts w:ascii="Arial" w:hAnsi="Arial" w:cs="Arial"/>
          <w:sz w:val="22"/>
          <w:szCs w:val="22"/>
        </w:rPr>
        <w:t>Para este indicador se proyectó</w:t>
      </w:r>
      <w:r w:rsidR="00F73A50" w:rsidRPr="009B12FF">
        <w:rPr>
          <w:rFonts w:ascii="Arial" w:hAnsi="Arial" w:cs="Arial"/>
          <w:sz w:val="22"/>
          <w:szCs w:val="22"/>
        </w:rPr>
        <w:t xml:space="preserve"> un desempeño del 90%, logrando </w:t>
      </w:r>
      <w:r w:rsidR="002A7EBD" w:rsidRPr="009B12FF">
        <w:rPr>
          <w:rFonts w:ascii="Arial" w:hAnsi="Arial" w:cs="Arial"/>
          <w:sz w:val="22"/>
          <w:szCs w:val="22"/>
        </w:rPr>
        <w:t>el 111.09%</w:t>
      </w:r>
      <w:r w:rsidR="00F73A50" w:rsidRPr="009B12FF">
        <w:rPr>
          <w:rFonts w:ascii="Arial" w:hAnsi="Arial" w:cs="Arial"/>
          <w:sz w:val="22"/>
          <w:szCs w:val="22"/>
        </w:rPr>
        <w:t>, como meta cumplida.  El resultado de las encuestas que se aplicaron se logra la meta plant</w:t>
      </w:r>
      <w:r w:rsidR="002A7EBD" w:rsidRPr="009B12FF">
        <w:rPr>
          <w:rFonts w:ascii="Arial" w:hAnsi="Arial" w:cs="Arial"/>
          <w:sz w:val="22"/>
          <w:szCs w:val="22"/>
        </w:rPr>
        <w:t>eada, de las 35</w:t>
      </w:r>
      <w:r w:rsidR="00F73A50" w:rsidRPr="009B12FF">
        <w:rPr>
          <w:rFonts w:ascii="Arial" w:hAnsi="Arial" w:cs="Arial"/>
          <w:sz w:val="22"/>
          <w:szCs w:val="22"/>
        </w:rPr>
        <w:t>0 encuestas realizadas el 9</w:t>
      </w:r>
      <w:r w:rsidR="002A7EBD" w:rsidRPr="009B12FF">
        <w:rPr>
          <w:rFonts w:ascii="Arial" w:hAnsi="Arial" w:cs="Arial"/>
          <w:sz w:val="22"/>
          <w:szCs w:val="22"/>
        </w:rPr>
        <w:t>9.98</w:t>
      </w:r>
      <w:r w:rsidR="00F73A50" w:rsidRPr="009B12FF">
        <w:rPr>
          <w:rFonts w:ascii="Arial" w:hAnsi="Arial" w:cs="Arial"/>
          <w:sz w:val="22"/>
          <w:szCs w:val="22"/>
        </w:rPr>
        <w:t>% manifiesta satisfacción con la gestión en los Camposantos.</w:t>
      </w:r>
    </w:p>
    <w:p w:rsidR="00F73A50" w:rsidRPr="009B12FF" w:rsidRDefault="00F73A50" w:rsidP="001B2FF4">
      <w:pPr>
        <w:jc w:val="both"/>
        <w:rPr>
          <w:rFonts w:ascii="Arial" w:hAnsi="Arial" w:cs="Arial"/>
          <w:sz w:val="22"/>
          <w:szCs w:val="22"/>
        </w:rPr>
      </w:pPr>
    </w:p>
    <w:p w:rsidR="00F73A50" w:rsidRPr="009B12FF" w:rsidRDefault="00F73A50" w:rsidP="001B2FF4">
      <w:pPr>
        <w:jc w:val="both"/>
        <w:rPr>
          <w:rFonts w:ascii="Arial" w:hAnsi="Arial" w:cs="Arial"/>
          <w:b/>
          <w:sz w:val="22"/>
          <w:szCs w:val="22"/>
        </w:rPr>
      </w:pPr>
      <w:r w:rsidRPr="009B12FF">
        <w:rPr>
          <w:rFonts w:ascii="Arial" w:hAnsi="Arial" w:cs="Arial"/>
          <w:b/>
          <w:sz w:val="22"/>
          <w:szCs w:val="22"/>
        </w:rPr>
        <w:t>Aspectos negativos externos</w:t>
      </w:r>
    </w:p>
    <w:p w:rsidR="00F3150B" w:rsidRPr="009B12FF" w:rsidRDefault="00F3150B" w:rsidP="001B2FF4">
      <w:pPr>
        <w:jc w:val="both"/>
        <w:rPr>
          <w:rFonts w:ascii="Arial" w:hAnsi="Arial" w:cs="Arial"/>
          <w:b/>
          <w:sz w:val="22"/>
          <w:szCs w:val="22"/>
        </w:rPr>
      </w:pPr>
    </w:p>
    <w:p w:rsidR="00F73A50" w:rsidRPr="009B12FF" w:rsidRDefault="00F73A50" w:rsidP="001B2FF4">
      <w:pPr>
        <w:jc w:val="both"/>
        <w:rPr>
          <w:rFonts w:ascii="Arial" w:hAnsi="Arial" w:cs="Arial"/>
          <w:sz w:val="22"/>
          <w:szCs w:val="22"/>
        </w:rPr>
      </w:pPr>
      <w:r w:rsidRPr="009B12FF">
        <w:rPr>
          <w:rFonts w:ascii="Arial" w:hAnsi="Arial" w:cs="Arial"/>
          <w:sz w:val="22"/>
          <w:szCs w:val="22"/>
        </w:rPr>
        <w:t>En cuanto a los usuarios que expresaron no estar satisfechas con el servicio, fundamentan su inconformidad principalmente en la falta de rampas de acceso para personas con discapacidad y no contar con todo el personal los días lunes, que por rol, solo se cuenta con los dos funcionarios para la atención de los usuarios.</w:t>
      </w:r>
    </w:p>
    <w:p w:rsidR="00491716" w:rsidRPr="009B12FF" w:rsidRDefault="00491716" w:rsidP="001B2FF4">
      <w:pPr>
        <w:jc w:val="both"/>
        <w:rPr>
          <w:rFonts w:ascii="Arial" w:hAnsi="Arial" w:cs="Arial"/>
          <w:b/>
          <w:sz w:val="22"/>
          <w:szCs w:val="22"/>
        </w:rPr>
      </w:pPr>
    </w:p>
    <w:p w:rsidR="00F73A50" w:rsidRPr="009B12FF" w:rsidRDefault="00F73A50" w:rsidP="001B2FF4">
      <w:pPr>
        <w:jc w:val="both"/>
        <w:rPr>
          <w:rFonts w:ascii="Arial" w:hAnsi="Arial" w:cs="Arial"/>
          <w:b/>
          <w:sz w:val="22"/>
          <w:szCs w:val="22"/>
        </w:rPr>
      </w:pPr>
      <w:r w:rsidRPr="009B12FF">
        <w:rPr>
          <w:rFonts w:ascii="Arial" w:hAnsi="Arial" w:cs="Arial"/>
          <w:b/>
          <w:sz w:val="22"/>
          <w:szCs w:val="22"/>
        </w:rPr>
        <w:t>Aspectos positivos internos</w:t>
      </w:r>
    </w:p>
    <w:p w:rsidR="00F3150B" w:rsidRPr="009B12FF" w:rsidRDefault="00F3150B" w:rsidP="001B2FF4">
      <w:pPr>
        <w:jc w:val="both"/>
        <w:rPr>
          <w:rFonts w:ascii="Arial" w:hAnsi="Arial" w:cs="Arial"/>
          <w:b/>
          <w:sz w:val="22"/>
          <w:szCs w:val="22"/>
        </w:rPr>
      </w:pPr>
    </w:p>
    <w:p w:rsidR="00560485" w:rsidRPr="009B12FF" w:rsidRDefault="00BA6EEC" w:rsidP="00F3150B">
      <w:pPr>
        <w:jc w:val="both"/>
        <w:rPr>
          <w:rFonts w:ascii="Arial" w:hAnsi="Arial" w:cs="Arial"/>
          <w:b/>
          <w:iCs/>
          <w:color w:val="000000" w:themeColor="text1"/>
          <w:sz w:val="22"/>
          <w:szCs w:val="22"/>
        </w:rPr>
      </w:pPr>
      <w:r w:rsidRPr="009B12FF">
        <w:rPr>
          <w:rFonts w:ascii="Arial" w:hAnsi="Arial" w:cs="Arial"/>
          <w:sz w:val="22"/>
          <w:szCs w:val="22"/>
        </w:rPr>
        <w:t>Se está en proceso de licitación la construcción de rampas de acceso para el año 2014 y se encuentra asignado un funcionario en las instalaciones del Cementerio Metropolitano con el fin de que realice los trámites en el lugar, se construyó una caseta de vigilancia al ingreso de éste brindando mayor seguridad y atención a los usuarios.</w:t>
      </w:r>
    </w:p>
    <w:p w:rsidR="001776D8" w:rsidRPr="009B12FF" w:rsidRDefault="00B76EC0" w:rsidP="001B2FF4">
      <w:pPr>
        <w:jc w:val="center"/>
        <w:rPr>
          <w:rFonts w:ascii="Arial" w:hAnsi="Arial" w:cs="Arial"/>
          <w:b/>
          <w:iCs/>
          <w:color w:val="000000" w:themeColor="text1"/>
          <w:sz w:val="22"/>
          <w:szCs w:val="22"/>
        </w:rPr>
      </w:pPr>
      <w:r w:rsidRPr="009B12FF">
        <w:rPr>
          <w:rFonts w:ascii="Arial" w:hAnsi="Arial" w:cs="Arial"/>
          <w:b/>
          <w:iCs/>
          <w:color w:val="000000" w:themeColor="text1"/>
          <w:sz w:val="22"/>
          <w:szCs w:val="22"/>
        </w:rPr>
        <w:t xml:space="preserve">Programa </w:t>
      </w:r>
      <w:r w:rsidR="00D70049" w:rsidRPr="009B12FF">
        <w:rPr>
          <w:rFonts w:ascii="Arial" w:hAnsi="Arial" w:cs="Arial"/>
          <w:b/>
          <w:iCs/>
          <w:color w:val="000000" w:themeColor="text1"/>
          <w:sz w:val="22"/>
          <w:szCs w:val="22"/>
        </w:rPr>
        <w:t>4</w:t>
      </w:r>
      <w:r w:rsidRPr="009B12FF">
        <w:rPr>
          <w:rFonts w:ascii="Arial" w:hAnsi="Arial" w:cs="Arial"/>
          <w:b/>
          <w:iCs/>
          <w:color w:val="000000" w:themeColor="text1"/>
          <w:sz w:val="22"/>
          <w:szCs w:val="22"/>
        </w:rPr>
        <w:t xml:space="preserve"> </w:t>
      </w:r>
      <w:r w:rsidR="00D70049" w:rsidRPr="009B12FF">
        <w:rPr>
          <w:rFonts w:ascii="Arial" w:hAnsi="Arial" w:cs="Arial"/>
          <w:b/>
          <w:iCs/>
          <w:color w:val="000000" w:themeColor="text1"/>
          <w:sz w:val="22"/>
          <w:szCs w:val="22"/>
        </w:rPr>
        <w:t>Acción Social</w:t>
      </w:r>
      <w:r w:rsidRPr="009B12FF">
        <w:rPr>
          <w:rFonts w:ascii="Arial" w:hAnsi="Arial" w:cs="Arial"/>
          <w:b/>
          <w:iCs/>
          <w:color w:val="000000" w:themeColor="text1"/>
          <w:sz w:val="22"/>
          <w:szCs w:val="22"/>
        </w:rPr>
        <w:t xml:space="preserve"> (</w:t>
      </w:r>
      <w:r w:rsidR="00282F6E" w:rsidRPr="009B12FF">
        <w:rPr>
          <w:rFonts w:ascii="Arial" w:hAnsi="Arial" w:cs="Arial"/>
          <w:b/>
          <w:iCs/>
          <w:color w:val="000000" w:themeColor="text1"/>
          <w:sz w:val="22"/>
          <w:szCs w:val="22"/>
        </w:rPr>
        <w:t>Gerencia de Desarrollo Social</w:t>
      </w:r>
      <w:r w:rsidRPr="009B12FF">
        <w:rPr>
          <w:rFonts w:ascii="Arial" w:hAnsi="Arial" w:cs="Arial"/>
          <w:b/>
          <w:iCs/>
          <w:color w:val="000000" w:themeColor="text1"/>
          <w:sz w:val="22"/>
          <w:szCs w:val="22"/>
        </w:rPr>
        <w:t>)</w:t>
      </w:r>
    </w:p>
    <w:p w:rsidR="00C22651" w:rsidRPr="009B12FF" w:rsidRDefault="00C22651" w:rsidP="004A5BC7">
      <w:pPr>
        <w:rPr>
          <w:rFonts w:ascii="Arial" w:hAnsi="Arial" w:cs="Arial"/>
          <w:b/>
          <w:sz w:val="22"/>
          <w:szCs w:val="22"/>
        </w:rPr>
      </w:pPr>
    </w:p>
    <w:p w:rsidR="002A3511" w:rsidRPr="009B12FF" w:rsidRDefault="002A3511" w:rsidP="004A5BC7">
      <w:pPr>
        <w:jc w:val="both"/>
        <w:rPr>
          <w:rFonts w:ascii="Arial" w:hAnsi="Arial" w:cs="Arial"/>
          <w:color w:val="000000" w:themeColor="text1"/>
          <w:sz w:val="22"/>
          <w:szCs w:val="22"/>
        </w:rPr>
      </w:pPr>
      <w:r w:rsidRPr="009B12FF">
        <w:rPr>
          <w:rFonts w:ascii="Arial" w:hAnsi="Arial" w:cs="Arial"/>
          <w:color w:val="000000" w:themeColor="text1"/>
          <w:sz w:val="22"/>
          <w:szCs w:val="22"/>
        </w:rPr>
        <w:t>Producto de la comercialización de las Loterías que administra la Junta de Protección Social, conforme a la Ley 8718 “Autorización para el Cambio de Nombre de la Junta de Protección Social y Establecimiento de la Distribución de Rentas de las Loterías Nacionales”, le corresponde transferir las utilidades a beneficiarios, organizaciones de bienestar social, públicas y privadas, que atienden a diferentes sectores de la población.</w:t>
      </w:r>
    </w:p>
    <w:p w:rsidR="003D0DBF" w:rsidRPr="009B12FF" w:rsidRDefault="003D0DBF" w:rsidP="004A5BC7">
      <w:pPr>
        <w:jc w:val="both"/>
        <w:rPr>
          <w:rFonts w:ascii="Arial" w:hAnsi="Arial" w:cs="Arial"/>
          <w:color w:val="000000" w:themeColor="text1"/>
          <w:sz w:val="22"/>
          <w:szCs w:val="22"/>
        </w:rPr>
      </w:pPr>
    </w:p>
    <w:p w:rsidR="002A3511" w:rsidRPr="009B12FF" w:rsidRDefault="002A3511" w:rsidP="004A5BC7">
      <w:pPr>
        <w:jc w:val="both"/>
        <w:rPr>
          <w:rFonts w:ascii="Arial" w:hAnsi="Arial" w:cs="Arial"/>
          <w:color w:val="000000" w:themeColor="text1"/>
          <w:sz w:val="22"/>
          <w:szCs w:val="22"/>
        </w:rPr>
      </w:pPr>
      <w:r w:rsidRPr="009B12FF">
        <w:rPr>
          <w:rFonts w:ascii="Arial" w:hAnsi="Arial" w:cs="Arial"/>
          <w:color w:val="000000" w:themeColor="text1"/>
          <w:sz w:val="22"/>
          <w:szCs w:val="22"/>
        </w:rPr>
        <w:t>De igual manera, provee de ayudas técnicas a personas con discapacidad física, mental o sensorial, así como el financiamiento de proyectos específicos para las organizaciones para cubrir necesidades que no son contempladas en los recursos que se giran para solventar las necesidades básicas (apoyo a la gestión) de los beneficiarios de las organizaciones de bienestar social.</w:t>
      </w:r>
    </w:p>
    <w:p w:rsidR="00616480" w:rsidRPr="009B12FF" w:rsidRDefault="00616480" w:rsidP="004A5BC7">
      <w:pPr>
        <w:jc w:val="both"/>
        <w:rPr>
          <w:rFonts w:ascii="Arial" w:hAnsi="Arial" w:cs="Arial"/>
          <w:color w:val="000000" w:themeColor="text1"/>
          <w:sz w:val="22"/>
          <w:szCs w:val="22"/>
        </w:rPr>
      </w:pPr>
    </w:p>
    <w:p w:rsidR="00616480" w:rsidRPr="009B12FF" w:rsidRDefault="00616480" w:rsidP="004A5BC7">
      <w:pPr>
        <w:jc w:val="both"/>
        <w:rPr>
          <w:rFonts w:ascii="Arial" w:hAnsi="Arial" w:cs="Arial"/>
          <w:color w:val="000000" w:themeColor="text1"/>
          <w:sz w:val="22"/>
          <w:szCs w:val="22"/>
        </w:rPr>
      </w:pPr>
      <w:r w:rsidRPr="009B12FF">
        <w:rPr>
          <w:rFonts w:ascii="Arial" w:hAnsi="Arial" w:cs="Arial"/>
          <w:color w:val="000000" w:themeColor="text1"/>
          <w:sz w:val="22"/>
          <w:szCs w:val="22"/>
        </w:rPr>
        <w:t xml:space="preserve">Para realizar la evaluación anual de los objetivos estratégicos, según corresponde al área social, se contó con cifras y datos proporcionados por los sistemas y las proyecciones brindadas </w:t>
      </w:r>
      <w:r w:rsidR="00435ED4" w:rsidRPr="009B12FF">
        <w:rPr>
          <w:rFonts w:ascii="Arial" w:hAnsi="Arial" w:cs="Arial"/>
          <w:sz w:val="22"/>
          <w:szCs w:val="22"/>
        </w:rPr>
        <w:t>en las utilidades proyectadas del Sistema de Liquidación – Proyección</w:t>
      </w:r>
      <w:r w:rsidR="00435ED4" w:rsidRPr="009B12FF">
        <w:rPr>
          <w:rFonts w:ascii="Arial" w:hAnsi="Arial" w:cs="Arial"/>
          <w:color w:val="000000" w:themeColor="text1"/>
          <w:sz w:val="22"/>
          <w:szCs w:val="22"/>
        </w:rPr>
        <w:t xml:space="preserve"> </w:t>
      </w:r>
      <w:r w:rsidRPr="009B12FF">
        <w:rPr>
          <w:rFonts w:ascii="Arial" w:hAnsi="Arial" w:cs="Arial"/>
          <w:color w:val="000000" w:themeColor="text1"/>
          <w:sz w:val="22"/>
          <w:szCs w:val="22"/>
        </w:rPr>
        <w:t>por ejemplo; las cuales estarán sujetas a variaciones en el tiempo de los factores que influyen en la estimación, como lo es la devolución y pago de premios.</w:t>
      </w:r>
    </w:p>
    <w:p w:rsidR="00616480" w:rsidRPr="009B12FF" w:rsidRDefault="00616480" w:rsidP="004A5BC7">
      <w:pPr>
        <w:jc w:val="both"/>
        <w:rPr>
          <w:rFonts w:ascii="Arial" w:hAnsi="Arial" w:cs="Arial"/>
          <w:color w:val="000000" w:themeColor="text1"/>
          <w:sz w:val="22"/>
          <w:szCs w:val="22"/>
        </w:rPr>
      </w:pPr>
    </w:p>
    <w:p w:rsidR="003C5FF7" w:rsidRPr="009B12FF" w:rsidRDefault="00FB0D99" w:rsidP="004A5BC7">
      <w:pPr>
        <w:jc w:val="both"/>
        <w:rPr>
          <w:rFonts w:ascii="Arial" w:hAnsi="Arial" w:cs="Arial"/>
          <w:sz w:val="22"/>
          <w:szCs w:val="22"/>
        </w:rPr>
      </w:pPr>
      <w:r w:rsidRPr="009B12FF">
        <w:rPr>
          <w:rFonts w:ascii="Arial" w:hAnsi="Arial" w:cs="Arial"/>
          <w:sz w:val="22"/>
          <w:szCs w:val="22"/>
        </w:rPr>
        <w:t xml:space="preserve">En tal sentido, es importante señalar que las utilidades disponibles representan aquellas que efectivamente son </w:t>
      </w:r>
      <w:r w:rsidR="00435ED4" w:rsidRPr="009B12FF">
        <w:rPr>
          <w:rFonts w:ascii="Arial" w:hAnsi="Arial" w:cs="Arial"/>
          <w:sz w:val="22"/>
          <w:szCs w:val="22"/>
        </w:rPr>
        <w:t>utilizables para el período 2013</w:t>
      </w:r>
      <w:r w:rsidRPr="009B12FF">
        <w:rPr>
          <w:rFonts w:ascii="Arial" w:hAnsi="Arial" w:cs="Arial"/>
          <w:sz w:val="22"/>
          <w:szCs w:val="22"/>
        </w:rPr>
        <w:t>, pero que provienen de las liquidaciones de los sorteos</w:t>
      </w:r>
      <w:r w:rsidR="00F6799D" w:rsidRPr="009B12FF">
        <w:rPr>
          <w:rFonts w:ascii="Arial" w:hAnsi="Arial" w:cs="Arial"/>
          <w:sz w:val="22"/>
          <w:szCs w:val="22"/>
        </w:rPr>
        <w:t xml:space="preserve"> entre los meses de octubre 2012 y setiembre de 2013</w:t>
      </w:r>
      <w:r w:rsidRPr="009B12FF">
        <w:rPr>
          <w:rFonts w:ascii="Arial" w:hAnsi="Arial" w:cs="Arial"/>
          <w:sz w:val="22"/>
          <w:szCs w:val="22"/>
        </w:rPr>
        <w:t xml:space="preserve">, conformando un </w:t>
      </w:r>
      <w:r w:rsidR="00F6799D" w:rsidRPr="009B12FF">
        <w:rPr>
          <w:rFonts w:ascii="Arial" w:hAnsi="Arial" w:cs="Arial"/>
          <w:sz w:val="22"/>
          <w:szCs w:val="22"/>
        </w:rPr>
        <w:t>presupuesto</w:t>
      </w:r>
      <w:r w:rsidRPr="009B12FF">
        <w:rPr>
          <w:rFonts w:ascii="Arial" w:hAnsi="Arial" w:cs="Arial"/>
          <w:sz w:val="22"/>
          <w:szCs w:val="22"/>
        </w:rPr>
        <w:t xml:space="preserve"> de utilidades como herramienta fundamental para la toma de decisiones en la asignación de recursos.</w:t>
      </w:r>
      <w:r w:rsidR="003C5FF7" w:rsidRPr="009B12FF">
        <w:rPr>
          <w:rFonts w:ascii="Arial" w:hAnsi="Arial" w:cs="Arial"/>
          <w:sz w:val="22"/>
          <w:szCs w:val="22"/>
        </w:rPr>
        <w:t xml:space="preserve"> Para efectos de cálculos se toma en consideración el Reporte Proyección Liquidaciones de Loterías del Sistema de Liquidación – Proyección, </w:t>
      </w:r>
      <w:r w:rsidR="006640A8" w:rsidRPr="009B12FF">
        <w:rPr>
          <w:rFonts w:ascii="Arial" w:hAnsi="Arial" w:cs="Arial"/>
          <w:sz w:val="22"/>
          <w:szCs w:val="22"/>
        </w:rPr>
        <w:t>cuyas cifras representan la liquidación real de las utilidades para el año 2013, según el parámetro descrito anteriormente.</w:t>
      </w:r>
      <w:r w:rsidR="003C5FF7" w:rsidRPr="009B12FF">
        <w:rPr>
          <w:rFonts w:ascii="Arial" w:hAnsi="Arial" w:cs="Arial"/>
          <w:sz w:val="22"/>
          <w:szCs w:val="22"/>
        </w:rPr>
        <w:t xml:space="preserve">  Además, se consideran aquellos ajustes presupuestarios que inciden directamente en la determinación del total de  utilidades por distribuir, los cuales se establecen en el Presupuesto Extraordinario Nº1 y la Modificación Interna Nº1, que se detallan a continuación:</w:t>
      </w:r>
    </w:p>
    <w:p w:rsidR="00BE185D" w:rsidRPr="009B12FF" w:rsidRDefault="00BE185D" w:rsidP="004A5BC7">
      <w:pPr>
        <w:jc w:val="both"/>
        <w:rPr>
          <w:rFonts w:ascii="Arial" w:hAnsi="Arial" w:cs="Arial"/>
          <w:sz w:val="22"/>
          <w:szCs w:val="22"/>
        </w:rPr>
      </w:pPr>
    </w:p>
    <w:tbl>
      <w:tblPr>
        <w:tblStyle w:val="Tablaconcuadrcula"/>
        <w:tblW w:w="0" w:type="auto"/>
        <w:tblInd w:w="928" w:type="dxa"/>
        <w:tblLook w:val="04A0" w:firstRow="1" w:lastRow="0" w:firstColumn="1" w:lastColumn="0" w:noHBand="0" w:noVBand="1"/>
      </w:tblPr>
      <w:tblGrid>
        <w:gridCol w:w="3955"/>
        <w:gridCol w:w="3056"/>
      </w:tblGrid>
      <w:tr w:rsidR="00E16563" w:rsidRPr="009B12FF" w:rsidTr="00166985">
        <w:tc>
          <w:tcPr>
            <w:tcW w:w="3955" w:type="dxa"/>
          </w:tcPr>
          <w:p w:rsidR="00E16563" w:rsidRPr="009B12FF" w:rsidRDefault="00E16563" w:rsidP="004A5BC7">
            <w:pPr>
              <w:jc w:val="center"/>
              <w:rPr>
                <w:rFonts w:ascii="Arial" w:hAnsi="Arial" w:cs="Arial"/>
                <w:b/>
                <w:sz w:val="22"/>
                <w:szCs w:val="22"/>
              </w:rPr>
            </w:pPr>
            <w:r w:rsidRPr="009B12FF">
              <w:rPr>
                <w:rFonts w:ascii="Arial" w:hAnsi="Arial" w:cs="Arial"/>
                <w:b/>
                <w:sz w:val="22"/>
                <w:szCs w:val="22"/>
              </w:rPr>
              <w:t>Concepto</w:t>
            </w:r>
          </w:p>
        </w:tc>
        <w:tc>
          <w:tcPr>
            <w:tcW w:w="3056" w:type="dxa"/>
          </w:tcPr>
          <w:p w:rsidR="00E16563" w:rsidRPr="009B12FF" w:rsidRDefault="00E16563" w:rsidP="004A5BC7">
            <w:pPr>
              <w:jc w:val="center"/>
              <w:rPr>
                <w:rFonts w:ascii="Arial" w:hAnsi="Arial" w:cs="Arial"/>
                <w:b/>
                <w:sz w:val="22"/>
                <w:szCs w:val="22"/>
              </w:rPr>
            </w:pPr>
            <w:r w:rsidRPr="009B12FF">
              <w:rPr>
                <w:rFonts w:ascii="Arial" w:hAnsi="Arial" w:cs="Arial"/>
                <w:b/>
                <w:sz w:val="22"/>
                <w:szCs w:val="22"/>
              </w:rPr>
              <w:t>Monto</w:t>
            </w:r>
          </w:p>
        </w:tc>
      </w:tr>
      <w:tr w:rsidR="00E16563" w:rsidRPr="009B12FF" w:rsidTr="004E019C">
        <w:trPr>
          <w:trHeight w:val="228"/>
        </w:trPr>
        <w:tc>
          <w:tcPr>
            <w:tcW w:w="3955" w:type="dxa"/>
          </w:tcPr>
          <w:p w:rsidR="00E16563" w:rsidRPr="009B12FF" w:rsidRDefault="00E16563" w:rsidP="004A5BC7">
            <w:pPr>
              <w:rPr>
                <w:rFonts w:ascii="Arial" w:hAnsi="Arial" w:cs="Arial"/>
                <w:sz w:val="22"/>
                <w:szCs w:val="22"/>
              </w:rPr>
            </w:pPr>
            <w:r w:rsidRPr="009B12FF">
              <w:rPr>
                <w:rFonts w:ascii="Arial" w:hAnsi="Arial" w:cs="Arial"/>
                <w:sz w:val="22"/>
                <w:szCs w:val="22"/>
              </w:rPr>
              <w:t xml:space="preserve">Utilidad neta </w:t>
            </w:r>
          </w:p>
        </w:tc>
        <w:tc>
          <w:tcPr>
            <w:tcW w:w="3056" w:type="dxa"/>
          </w:tcPr>
          <w:p w:rsidR="00E16563" w:rsidRPr="009B12FF" w:rsidRDefault="00E16563" w:rsidP="00ED5CFE">
            <w:pPr>
              <w:jc w:val="right"/>
              <w:rPr>
                <w:rFonts w:ascii="Arial" w:hAnsi="Arial" w:cs="Arial"/>
                <w:sz w:val="22"/>
                <w:szCs w:val="22"/>
              </w:rPr>
            </w:pPr>
            <w:r w:rsidRPr="009B12FF">
              <w:rPr>
                <w:rFonts w:ascii="Arial" w:hAnsi="Arial" w:cs="Arial"/>
                <w:sz w:val="22"/>
                <w:szCs w:val="22"/>
              </w:rPr>
              <w:t>25.591.709.068</w:t>
            </w:r>
          </w:p>
        </w:tc>
      </w:tr>
      <w:tr w:rsidR="00E16563" w:rsidRPr="009B12FF" w:rsidTr="00166985">
        <w:tc>
          <w:tcPr>
            <w:tcW w:w="3955" w:type="dxa"/>
          </w:tcPr>
          <w:p w:rsidR="00E16563" w:rsidRPr="009B12FF" w:rsidRDefault="00E16563" w:rsidP="004A5BC7">
            <w:pPr>
              <w:rPr>
                <w:rFonts w:ascii="Arial" w:hAnsi="Arial" w:cs="Arial"/>
                <w:sz w:val="22"/>
                <w:szCs w:val="22"/>
              </w:rPr>
            </w:pPr>
            <w:r w:rsidRPr="009B12FF">
              <w:rPr>
                <w:rFonts w:ascii="Arial" w:hAnsi="Arial" w:cs="Arial"/>
                <w:sz w:val="22"/>
                <w:szCs w:val="22"/>
              </w:rPr>
              <w:t>Presupu</w:t>
            </w:r>
            <w:r w:rsidR="00C91C4D" w:rsidRPr="009B12FF">
              <w:rPr>
                <w:rFonts w:ascii="Arial" w:hAnsi="Arial" w:cs="Arial"/>
                <w:sz w:val="22"/>
                <w:szCs w:val="22"/>
              </w:rPr>
              <w:t>esto Extraordinario 1</w:t>
            </w:r>
          </w:p>
        </w:tc>
        <w:tc>
          <w:tcPr>
            <w:tcW w:w="3056" w:type="dxa"/>
          </w:tcPr>
          <w:p w:rsidR="00E16563" w:rsidRPr="009B12FF" w:rsidRDefault="00E16563" w:rsidP="00ED5CFE">
            <w:pPr>
              <w:jc w:val="right"/>
              <w:rPr>
                <w:rFonts w:ascii="Arial" w:hAnsi="Arial" w:cs="Arial"/>
                <w:sz w:val="22"/>
                <w:szCs w:val="22"/>
              </w:rPr>
            </w:pPr>
            <w:r w:rsidRPr="009B12FF">
              <w:rPr>
                <w:rFonts w:ascii="Arial" w:hAnsi="Arial" w:cs="Arial"/>
                <w:sz w:val="22"/>
                <w:szCs w:val="22"/>
              </w:rPr>
              <w:t>3.293.859.000</w:t>
            </w:r>
          </w:p>
        </w:tc>
      </w:tr>
      <w:tr w:rsidR="00E16563" w:rsidRPr="009B12FF" w:rsidTr="00166985">
        <w:tc>
          <w:tcPr>
            <w:tcW w:w="3955" w:type="dxa"/>
          </w:tcPr>
          <w:p w:rsidR="00E16563" w:rsidRPr="009B12FF" w:rsidRDefault="00E16563" w:rsidP="004A5BC7">
            <w:pPr>
              <w:rPr>
                <w:rFonts w:ascii="Arial" w:hAnsi="Arial" w:cs="Arial"/>
                <w:sz w:val="22"/>
                <w:szCs w:val="22"/>
              </w:rPr>
            </w:pPr>
            <w:r w:rsidRPr="009B12FF">
              <w:rPr>
                <w:rFonts w:ascii="Arial" w:hAnsi="Arial" w:cs="Arial"/>
                <w:sz w:val="22"/>
                <w:szCs w:val="22"/>
              </w:rPr>
              <w:t>Utilidad Instantánea proyectada</w:t>
            </w:r>
          </w:p>
        </w:tc>
        <w:tc>
          <w:tcPr>
            <w:tcW w:w="3056" w:type="dxa"/>
          </w:tcPr>
          <w:p w:rsidR="00E16563" w:rsidRPr="009B12FF" w:rsidRDefault="00E16563" w:rsidP="00ED5CFE">
            <w:pPr>
              <w:jc w:val="right"/>
              <w:rPr>
                <w:rFonts w:ascii="Arial" w:hAnsi="Arial" w:cs="Arial"/>
                <w:sz w:val="22"/>
                <w:szCs w:val="22"/>
              </w:rPr>
            </w:pPr>
            <w:r w:rsidRPr="009B12FF">
              <w:rPr>
                <w:rFonts w:ascii="Arial" w:hAnsi="Arial" w:cs="Arial"/>
                <w:sz w:val="22"/>
                <w:szCs w:val="22"/>
              </w:rPr>
              <w:t>889.230.000</w:t>
            </w:r>
          </w:p>
        </w:tc>
      </w:tr>
      <w:tr w:rsidR="00E16563" w:rsidRPr="009B12FF" w:rsidTr="00166985">
        <w:tc>
          <w:tcPr>
            <w:tcW w:w="3955" w:type="dxa"/>
          </w:tcPr>
          <w:p w:rsidR="00E16563" w:rsidRPr="009B12FF" w:rsidRDefault="00E16563" w:rsidP="004A5BC7">
            <w:pPr>
              <w:jc w:val="center"/>
              <w:rPr>
                <w:rFonts w:ascii="Arial" w:hAnsi="Arial" w:cs="Arial"/>
                <w:b/>
                <w:sz w:val="22"/>
                <w:szCs w:val="22"/>
              </w:rPr>
            </w:pPr>
            <w:r w:rsidRPr="009B12FF">
              <w:rPr>
                <w:rFonts w:ascii="Arial" w:hAnsi="Arial" w:cs="Arial"/>
                <w:b/>
                <w:sz w:val="22"/>
                <w:szCs w:val="22"/>
              </w:rPr>
              <w:t>Total de Utilidades Estimadas</w:t>
            </w:r>
          </w:p>
        </w:tc>
        <w:tc>
          <w:tcPr>
            <w:tcW w:w="3056" w:type="dxa"/>
          </w:tcPr>
          <w:p w:rsidR="00E16563" w:rsidRPr="009B12FF" w:rsidRDefault="00E16563" w:rsidP="00ED5CFE">
            <w:pPr>
              <w:jc w:val="right"/>
              <w:rPr>
                <w:rFonts w:ascii="Arial" w:hAnsi="Arial" w:cs="Arial"/>
                <w:b/>
                <w:sz w:val="22"/>
                <w:szCs w:val="22"/>
              </w:rPr>
            </w:pPr>
            <w:r w:rsidRPr="009B12FF">
              <w:rPr>
                <w:rFonts w:ascii="Arial" w:hAnsi="Arial" w:cs="Arial"/>
                <w:b/>
                <w:sz w:val="22"/>
                <w:szCs w:val="22"/>
              </w:rPr>
              <w:t>¢</w:t>
            </w:r>
            <w:r w:rsidRPr="009B12FF">
              <w:rPr>
                <w:rFonts w:ascii="Arial" w:hAnsi="Arial" w:cs="Arial"/>
                <w:sz w:val="22"/>
                <w:szCs w:val="22"/>
              </w:rPr>
              <w:t xml:space="preserve"> </w:t>
            </w:r>
            <w:r w:rsidRPr="009B12FF">
              <w:rPr>
                <w:rFonts w:ascii="Arial" w:hAnsi="Arial" w:cs="Arial"/>
                <w:b/>
                <w:sz w:val="22"/>
                <w:szCs w:val="22"/>
              </w:rPr>
              <w:t>29.774.798.068</w:t>
            </w:r>
          </w:p>
        </w:tc>
      </w:tr>
    </w:tbl>
    <w:p w:rsidR="00315069" w:rsidRPr="009B12FF" w:rsidRDefault="00F17A95" w:rsidP="00315069">
      <w:pPr>
        <w:tabs>
          <w:tab w:val="left" w:pos="4820"/>
        </w:tabs>
        <w:rPr>
          <w:rFonts w:ascii="Arial" w:hAnsi="Arial" w:cs="Arial"/>
          <w:b/>
          <w:sz w:val="14"/>
          <w:szCs w:val="14"/>
        </w:rPr>
      </w:pPr>
      <w:r w:rsidRPr="009B12FF">
        <w:rPr>
          <w:rFonts w:ascii="Arial" w:hAnsi="Arial" w:cs="Arial"/>
          <w:sz w:val="14"/>
          <w:szCs w:val="14"/>
        </w:rPr>
        <w:t xml:space="preserve">           </w:t>
      </w:r>
      <w:r w:rsidR="00315069" w:rsidRPr="009B12FF">
        <w:rPr>
          <w:rFonts w:ascii="Arial" w:hAnsi="Arial" w:cs="Arial"/>
          <w:sz w:val="14"/>
          <w:szCs w:val="14"/>
        </w:rPr>
        <w:t xml:space="preserve">      </w:t>
      </w:r>
      <w:r w:rsidRPr="009B12FF">
        <w:rPr>
          <w:rFonts w:ascii="Arial" w:hAnsi="Arial" w:cs="Arial"/>
          <w:sz w:val="14"/>
          <w:szCs w:val="14"/>
        </w:rPr>
        <w:t xml:space="preserve">  </w:t>
      </w:r>
      <w:r w:rsidRPr="009B12FF">
        <w:rPr>
          <w:rFonts w:ascii="Arial" w:hAnsi="Arial" w:cs="Arial"/>
          <w:b/>
          <w:sz w:val="14"/>
          <w:szCs w:val="14"/>
        </w:rPr>
        <w:t xml:space="preserve"> </w:t>
      </w:r>
      <w:r w:rsidR="00315069" w:rsidRPr="009B12FF">
        <w:rPr>
          <w:rFonts w:ascii="Arial" w:hAnsi="Arial" w:cs="Arial"/>
          <w:b/>
          <w:sz w:val="14"/>
          <w:szCs w:val="14"/>
        </w:rPr>
        <w:t>FI.: GDS-017 del 09 de enero de 2014.</w:t>
      </w:r>
    </w:p>
    <w:p w:rsidR="00FB0D99" w:rsidRPr="009B12FF" w:rsidRDefault="00FB0D99" w:rsidP="00315069">
      <w:pPr>
        <w:tabs>
          <w:tab w:val="left" w:pos="4820"/>
        </w:tabs>
        <w:rPr>
          <w:rFonts w:ascii="Arial" w:hAnsi="Arial" w:cs="Arial"/>
          <w:sz w:val="14"/>
          <w:szCs w:val="14"/>
        </w:rPr>
      </w:pPr>
    </w:p>
    <w:p w:rsidR="00FB0D99" w:rsidRPr="009B12FF" w:rsidRDefault="00FB0D99" w:rsidP="004A5BC7">
      <w:pPr>
        <w:jc w:val="both"/>
        <w:rPr>
          <w:rFonts w:ascii="Arial" w:hAnsi="Arial" w:cs="Arial"/>
          <w:sz w:val="22"/>
          <w:szCs w:val="22"/>
        </w:rPr>
      </w:pPr>
      <w:r w:rsidRPr="009B12FF">
        <w:rPr>
          <w:rFonts w:ascii="Arial" w:hAnsi="Arial" w:cs="Arial"/>
          <w:sz w:val="22"/>
          <w:szCs w:val="22"/>
        </w:rPr>
        <w:t>Una vez que se determinó la utilidad disponible, se procedió a realizar la distribución para cada uno de los programas y áreas conforme lo establece la Ley Nº 8718 “Autorización para el Cambio de Nombre de la Junta de Protección Social y Establecimiento de la Distribución de Rentas de las Loterías Nacionales”, de la siguiente manera:</w:t>
      </w:r>
    </w:p>
    <w:tbl>
      <w:tblPr>
        <w:tblStyle w:val="Tablaconcuadrcula"/>
        <w:tblW w:w="0" w:type="auto"/>
        <w:tblInd w:w="959" w:type="dxa"/>
        <w:tblLook w:val="04A0" w:firstRow="1" w:lastRow="0" w:firstColumn="1" w:lastColumn="0" w:noHBand="0" w:noVBand="1"/>
      </w:tblPr>
      <w:tblGrid>
        <w:gridCol w:w="3918"/>
        <w:gridCol w:w="2938"/>
      </w:tblGrid>
      <w:tr w:rsidR="00E16563" w:rsidRPr="009B12FF" w:rsidTr="009A7603">
        <w:trPr>
          <w:trHeight w:val="249"/>
        </w:trPr>
        <w:tc>
          <w:tcPr>
            <w:tcW w:w="3918" w:type="dxa"/>
          </w:tcPr>
          <w:p w:rsidR="00E16563" w:rsidRPr="009B12FF" w:rsidRDefault="00E16563" w:rsidP="004A5BC7">
            <w:pPr>
              <w:jc w:val="center"/>
              <w:rPr>
                <w:rFonts w:ascii="Arial" w:hAnsi="Arial" w:cs="Arial"/>
                <w:b/>
                <w:sz w:val="22"/>
                <w:szCs w:val="22"/>
              </w:rPr>
            </w:pPr>
            <w:r w:rsidRPr="009B12FF">
              <w:rPr>
                <w:rFonts w:ascii="Arial" w:hAnsi="Arial" w:cs="Arial"/>
                <w:b/>
                <w:sz w:val="22"/>
                <w:szCs w:val="22"/>
              </w:rPr>
              <w:t>Programa</w:t>
            </w:r>
          </w:p>
        </w:tc>
        <w:tc>
          <w:tcPr>
            <w:tcW w:w="2938" w:type="dxa"/>
          </w:tcPr>
          <w:p w:rsidR="00E16563" w:rsidRPr="009B12FF" w:rsidRDefault="00E16563" w:rsidP="004A5BC7">
            <w:pPr>
              <w:jc w:val="center"/>
              <w:rPr>
                <w:rFonts w:ascii="Arial" w:hAnsi="Arial" w:cs="Arial"/>
                <w:b/>
                <w:sz w:val="22"/>
                <w:szCs w:val="22"/>
              </w:rPr>
            </w:pPr>
            <w:r w:rsidRPr="009B12FF">
              <w:rPr>
                <w:rFonts w:ascii="Arial" w:hAnsi="Arial" w:cs="Arial"/>
                <w:b/>
                <w:sz w:val="22"/>
                <w:szCs w:val="22"/>
              </w:rPr>
              <w:t>Monto</w:t>
            </w:r>
          </w:p>
        </w:tc>
      </w:tr>
      <w:tr w:rsidR="00E16563" w:rsidRPr="009B12FF" w:rsidTr="009A7603">
        <w:trPr>
          <w:trHeight w:val="249"/>
        </w:trPr>
        <w:tc>
          <w:tcPr>
            <w:tcW w:w="3918" w:type="dxa"/>
          </w:tcPr>
          <w:p w:rsidR="00E16563" w:rsidRPr="009B12FF" w:rsidRDefault="00E16563" w:rsidP="004A5BC7">
            <w:pPr>
              <w:jc w:val="both"/>
              <w:rPr>
                <w:rFonts w:ascii="Arial" w:hAnsi="Arial" w:cs="Arial"/>
                <w:sz w:val="22"/>
                <w:szCs w:val="22"/>
              </w:rPr>
            </w:pPr>
            <w:r w:rsidRPr="009B12FF">
              <w:rPr>
                <w:rFonts w:ascii="Arial" w:hAnsi="Arial" w:cs="Arial"/>
                <w:sz w:val="22"/>
                <w:szCs w:val="22"/>
              </w:rPr>
              <w:t>Apoyo a la Gestión</w:t>
            </w:r>
          </w:p>
        </w:tc>
        <w:tc>
          <w:tcPr>
            <w:tcW w:w="2938" w:type="dxa"/>
          </w:tcPr>
          <w:p w:rsidR="00E16563" w:rsidRPr="009B12FF" w:rsidRDefault="00E16563" w:rsidP="00ED5CFE">
            <w:pPr>
              <w:jc w:val="right"/>
              <w:rPr>
                <w:rFonts w:ascii="Arial" w:hAnsi="Arial" w:cs="Arial"/>
                <w:sz w:val="22"/>
                <w:szCs w:val="22"/>
              </w:rPr>
            </w:pPr>
            <w:r w:rsidRPr="009B12FF">
              <w:rPr>
                <w:rFonts w:ascii="Arial" w:hAnsi="Arial" w:cs="Arial"/>
                <w:sz w:val="22"/>
                <w:szCs w:val="22"/>
              </w:rPr>
              <w:t>10.878.522.713</w:t>
            </w:r>
          </w:p>
        </w:tc>
      </w:tr>
      <w:tr w:rsidR="00E16563" w:rsidRPr="009B12FF" w:rsidTr="009A7603">
        <w:trPr>
          <w:trHeight w:val="249"/>
        </w:trPr>
        <w:tc>
          <w:tcPr>
            <w:tcW w:w="3918" w:type="dxa"/>
          </w:tcPr>
          <w:p w:rsidR="00E16563" w:rsidRPr="009B12FF" w:rsidRDefault="00E16563" w:rsidP="004A5BC7">
            <w:pPr>
              <w:jc w:val="both"/>
              <w:rPr>
                <w:rFonts w:ascii="Arial" w:hAnsi="Arial" w:cs="Arial"/>
                <w:sz w:val="22"/>
                <w:szCs w:val="22"/>
              </w:rPr>
            </w:pPr>
            <w:r w:rsidRPr="009B12FF">
              <w:rPr>
                <w:rFonts w:ascii="Arial" w:hAnsi="Arial" w:cs="Arial"/>
                <w:sz w:val="22"/>
                <w:szCs w:val="22"/>
              </w:rPr>
              <w:t>Proyectos Específicos</w:t>
            </w:r>
          </w:p>
        </w:tc>
        <w:tc>
          <w:tcPr>
            <w:tcW w:w="2938" w:type="dxa"/>
          </w:tcPr>
          <w:p w:rsidR="00E16563" w:rsidRPr="009B12FF" w:rsidRDefault="00E16563" w:rsidP="00ED5CFE">
            <w:pPr>
              <w:jc w:val="right"/>
              <w:rPr>
                <w:rFonts w:ascii="Arial" w:hAnsi="Arial" w:cs="Arial"/>
                <w:sz w:val="22"/>
                <w:szCs w:val="22"/>
              </w:rPr>
            </w:pPr>
            <w:r w:rsidRPr="009B12FF">
              <w:rPr>
                <w:rFonts w:ascii="Arial" w:hAnsi="Arial" w:cs="Arial"/>
                <w:sz w:val="22"/>
                <w:szCs w:val="22"/>
              </w:rPr>
              <w:t>11.493.512.576</w:t>
            </w:r>
          </w:p>
        </w:tc>
      </w:tr>
      <w:tr w:rsidR="00E16563" w:rsidRPr="009B12FF" w:rsidTr="009A7603">
        <w:trPr>
          <w:trHeight w:val="249"/>
        </w:trPr>
        <w:tc>
          <w:tcPr>
            <w:tcW w:w="3918" w:type="dxa"/>
          </w:tcPr>
          <w:p w:rsidR="00E16563" w:rsidRPr="009B12FF" w:rsidRDefault="00E16563" w:rsidP="004A5BC7">
            <w:pPr>
              <w:jc w:val="both"/>
              <w:rPr>
                <w:rFonts w:ascii="Arial" w:hAnsi="Arial" w:cs="Arial"/>
                <w:sz w:val="22"/>
                <w:szCs w:val="22"/>
              </w:rPr>
            </w:pPr>
            <w:r w:rsidRPr="009B12FF">
              <w:rPr>
                <w:rFonts w:ascii="Arial" w:hAnsi="Arial" w:cs="Arial"/>
                <w:sz w:val="22"/>
                <w:szCs w:val="22"/>
              </w:rPr>
              <w:t>Giros Directos</w:t>
            </w:r>
          </w:p>
        </w:tc>
        <w:tc>
          <w:tcPr>
            <w:tcW w:w="2938" w:type="dxa"/>
          </w:tcPr>
          <w:p w:rsidR="00E16563" w:rsidRPr="009B12FF" w:rsidRDefault="00E16563" w:rsidP="00ED5CFE">
            <w:pPr>
              <w:jc w:val="right"/>
              <w:rPr>
                <w:rFonts w:ascii="Arial" w:hAnsi="Arial" w:cs="Arial"/>
                <w:sz w:val="22"/>
                <w:szCs w:val="22"/>
              </w:rPr>
            </w:pPr>
            <w:r w:rsidRPr="009B12FF">
              <w:rPr>
                <w:rFonts w:ascii="Arial" w:hAnsi="Arial" w:cs="Arial"/>
                <w:sz w:val="22"/>
                <w:szCs w:val="22"/>
              </w:rPr>
              <w:t>6.959.458.386</w:t>
            </w:r>
          </w:p>
        </w:tc>
      </w:tr>
      <w:tr w:rsidR="00E16563" w:rsidRPr="009B12FF" w:rsidTr="009A7603">
        <w:trPr>
          <w:trHeight w:val="249"/>
        </w:trPr>
        <w:tc>
          <w:tcPr>
            <w:tcW w:w="3918" w:type="dxa"/>
          </w:tcPr>
          <w:p w:rsidR="00E16563" w:rsidRPr="009B12FF" w:rsidRDefault="00E16563" w:rsidP="004A5BC7">
            <w:pPr>
              <w:jc w:val="both"/>
              <w:rPr>
                <w:rFonts w:ascii="Arial" w:hAnsi="Arial" w:cs="Arial"/>
                <w:sz w:val="22"/>
                <w:szCs w:val="22"/>
              </w:rPr>
            </w:pPr>
            <w:r w:rsidRPr="009B12FF">
              <w:rPr>
                <w:rFonts w:ascii="Arial" w:hAnsi="Arial" w:cs="Arial"/>
                <w:sz w:val="22"/>
                <w:szCs w:val="22"/>
              </w:rPr>
              <w:t>Ayudas Técnicas</w:t>
            </w:r>
          </w:p>
        </w:tc>
        <w:tc>
          <w:tcPr>
            <w:tcW w:w="2938" w:type="dxa"/>
          </w:tcPr>
          <w:p w:rsidR="00E16563" w:rsidRPr="009B12FF" w:rsidRDefault="00E16563" w:rsidP="00ED5CFE">
            <w:pPr>
              <w:jc w:val="right"/>
              <w:rPr>
                <w:rFonts w:ascii="Arial" w:hAnsi="Arial" w:cs="Arial"/>
                <w:sz w:val="22"/>
                <w:szCs w:val="22"/>
              </w:rPr>
            </w:pPr>
            <w:r w:rsidRPr="009B12FF">
              <w:rPr>
                <w:rFonts w:ascii="Arial" w:hAnsi="Arial" w:cs="Arial"/>
                <w:sz w:val="22"/>
                <w:szCs w:val="22"/>
              </w:rPr>
              <w:t>443.304.392.</w:t>
            </w:r>
          </w:p>
        </w:tc>
      </w:tr>
      <w:tr w:rsidR="00E16563" w:rsidRPr="009B12FF" w:rsidTr="009A7603">
        <w:trPr>
          <w:trHeight w:val="249"/>
        </w:trPr>
        <w:tc>
          <w:tcPr>
            <w:tcW w:w="3918" w:type="dxa"/>
          </w:tcPr>
          <w:p w:rsidR="00E16563" w:rsidRPr="009B12FF" w:rsidRDefault="00E16563" w:rsidP="004A5BC7">
            <w:pPr>
              <w:jc w:val="center"/>
              <w:rPr>
                <w:rFonts w:ascii="Arial" w:hAnsi="Arial" w:cs="Arial"/>
                <w:b/>
                <w:sz w:val="22"/>
                <w:szCs w:val="22"/>
              </w:rPr>
            </w:pPr>
            <w:r w:rsidRPr="009B12FF">
              <w:rPr>
                <w:rFonts w:ascii="Arial" w:hAnsi="Arial" w:cs="Arial"/>
                <w:b/>
                <w:sz w:val="22"/>
                <w:szCs w:val="22"/>
              </w:rPr>
              <w:t>Total de Utilidades Disponibles</w:t>
            </w:r>
          </w:p>
        </w:tc>
        <w:tc>
          <w:tcPr>
            <w:tcW w:w="2938" w:type="dxa"/>
          </w:tcPr>
          <w:p w:rsidR="00E16563" w:rsidRPr="009B12FF" w:rsidRDefault="00E16563" w:rsidP="00ED5CFE">
            <w:pPr>
              <w:jc w:val="right"/>
              <w:rPr>
                <w:rFonts w:ascii="Arial" w:hAnsi="Arial" w:cs="Arial"/>
                <w:b/>
                <w:sz w:val="22"/>
                <w:szCs w:val="22"/>
              </w:rPr>
            </w:pPr>
            <w:r w:rsidRPr="009B12FF">
              <w:rPr>
                <w:rFonts w:ascii="Arial" w:hAnsi="Arial" w:cs="Arial"/>
                <w:b/>
                <w:sz w:val="22"/>
                <w:szCs w:val="22"/>
              </w:rPr>
              <w:t>¢29.774.798.068</w:t>
            </w:r>
          </w:p>
        </w:tc>
      </w:tr>
    </w:tbl>
    <w:p w:rsidR="00315069" w:rsidRPr="009B12FF" w:rsidRDefault="00315069" w:rsidP="00315069">
      <w:pPr>
        <w:tabs>
          <w:tab w:val="left" w:pos="4820"/>
        </w:tabs>
        <w:rPr>
          <w:rFonts w:ascii="Arial" w:hAnsi="Arial" w:cs="Arial"/>
          <w:b/>
          <w:sz w:val="14"/>
          <w:szCs w:val="14"/>
        </w:rPr>
      </w:pPr>
      <w:r w:rsidRPr="009B12FF">
        <w:rPr>
          <w:rFonts w:ascii="Arial" w:hAnsi="Arial" w:cs="Arial"/>
          <w:b/>
          <w:sz w:val="14"/>
          <w:szCs w:val="14"/>
        </w:rPr>
        <w:t xml:space="preserve">                     FI.: GDS-017 del 09 de enero de 2014.</w:t>
      </w:r>
    </w:p>
    <w:p w:rsidR="00305D6A" w:rsidRPr="009B12FF" w:rsidRDefault="00305D6A" w:rsidP="004A5BC7">
      <w:pPr>
        <w:rPr>
          <w:rFonts w:ascii="Arial" w:hAnsi="Arial" w:cs="Arial"/>
          <w:b/>
          <w:sz w:val="22"/>
          <w:szCs w:val="22"/>
        </w:rPr>
      </w:pPr>
    </w:p>
    <w:p w:rsidR="00FB0D99" w:rsidRPr="009B12FF" w:rsidRDefault="00FB0D99" w:rsidP="004A5BC7">
      <w:pPr>
        <w:jc w:val="both"/>
        <w:rPr>
          <w:rFonts w:ascii="Arial" w:hAnsi="Arial" w:cs="Arial"/>
          <w:sz w:val="22"/>
          <w:szCs w:val="22"/>
        </w:rPr>
      </w:pPr>
      <w:r w:rsidRPr="009B12FF">
        <w:rPr>
          <w:rFonts w:ascii="Arial" w:hAnsi="Arial" w:cs="Arial"/>
          <w:sz w:val="22"/>
          <w:szCs w:val="22"/>
        </w:rPr>
        <w:t>Es importante destacar que el porcentaje de cumplimiento depende de factores externos, fundamentalmente en el acatamiento de requisitos legales, presentación de liquidaciones, firma de convenios, presentación de documentos legales, cuotas obrero patronales ante la C.C.S.S; además, tanto los proyectos específicos como las ayudas técnicas están sujetos a procesos y trámites de contratación y consolidación de los proyectos y el proceso de licitación para las ayudas técnicas.</w:t>
      </w:r>
    </w:p>
    <w:p w:rsidR="00FB0D99" w:rsidRPr="009B12FF" w:rsidRDefault="00FB0D99" w:rsidP="004A5BC7">
      <w:pPr>
        <w:jc w:val="both"/>
        <w:rPr>
          <w:rFonts w:ascii="Arial" w:hAnsi="Arial" w:cs="Arial"/>
          <w:sz w:val="22"/>
          <w:szCs w:val="22"/>
        </w:rPr>
      </w:pPr>
    </w:p>
    <w:p w:rsidR="00FB0D99" w:rsidRPr="009B12FF" w:rsidRDefault="00FB0D99" w:rsidP="004A5BC7">
      <w:pPr>
        <w:jc w:val="both"/>
        <w:rPr>
          <w:rFonts w:ascii="Arial" w:hAnsi="Arial" w:cs="Arial"/>
          <w:sz w:val="22"/>
          <w:szCs w:val="22"/>
        </w:rPr>
      </w:pPr>
      <w:r w:rsidRPr="009B12FF">
        <w:rPr>
          <w:rFonts w:ascii="Arial" w:hAnsi="Arial" w:cs="Arial"/>
          <w:sz w:val="22"/>
          <w:szCs w:val="22"/>
        </w:rPr>
        <w:t>En lo que respecta a los giros efectivamente realizados, se tomaron en cuenta los reportes suministrados por el Departamento de Tesorería, a través del Sistema de Beneficiarios para cada uno de los programas y áreas de pago.</w:t>
      </w:r>
    </w:p>
    <w:p w:rsidR="00FB0D99" w:rsidRPr="009B12FF" w:rsidRDefault="00FB0D99" w:rsidP="004A5BC7">
      <w:pPr>
        <w:rPr>
          <w:rFonts w:ascii="Arial" w:hAnsi="Arial" w:cs="Arial"/>
          <w:sz w:val="22"/>
          <w:szCs w:val="22"/>
        </w:rPr>
      </w:pPr>
    </w:p>
    <w:p w:rsidR="00CC3B21" w:rsidRPr="009B12FF" w:rsidRDefault="00CC3B21" w:rsidP="004A5BC7">
      <w:pPr>
        <w:jc w:val="both"/>
        <w:rPr>
          <w:rFonts w:ascii="Arial" w:hAnsi="Arial" w:cs="Arial"/>
          <w:sz w:val="22"/>
          <w:szCs w:val="22"/>
        </w:rPr>
      </w:pPr>
      <w:r w:rsidRPr="009B12FF">
        <w:rPr>
          <w:rFonts w:ascii="Arial" w:hAnsi="Arial" w:cs="Arial"/>
          <w:sz w:val="22"/>
          <w:szCs w:val="22"/>
        </w:rPr>
        <w:t>Para los efectos del programa la Junta de Protección Social define los siguientes objetivos estratégicos:</w:t>
      </w:r>
    </w:p>
    <w:p w:rsidR="00F778CE" w:rsidRPr="009B12FF" w:rsidRDefault="00F778CE" w:rsidP="004A5BC7">
      <w:pPr>
        <w:rPr>
          <w:rFonts w:ascii="Arial" w:hAnsi="Arial" w:cs="Arial"/>
          <w:b/>
          <w:sz w:val="22"/>
          <w:szCs w:val="22"/>
        </w:rPr>
      </w:pPr>
    </w:p>
    <w:p w:rsidR="00FB0D99" w:rsidRPr="009B12FF" w:rsidRDefault="00FB0D99" w:rsidP="004A5BC7">
      <w:pPr>
        <w:rPr>
          <w:rFonts w:ascii="Arial" w:hAnsi="Arial" w:cs="Arial"/>
          <w:b/>
          <w:sz w:val="22"/>
          <w:szCs w:val="22"/>
        </w:rPr>
      </w:pPr>
      <w:r w:rsidRPr="009B12FF">
        <w:rPr>
          <w:rFonts w:ascii="Arial" w:hAnsi="Arial" w:cs="Arial"/>
          <w:b/>
          <w:sz w:val="22"/>
          <w:szCs w:val="22"/>
        </w:rPr>
        <w:t>Objetivo estratégico 1</w:t>
      </w:r>
    </w:p>
    <w:p w:rsidR="00F778CE" w:rsidRPr="009B12FF" w:rsidRDefault="00F778CE" w:rsidP="004A5BC7">
      <w:pPr>
        <w:jc w:val="both"/>
        <w:rPr>
          <w:rFonts w:ascii="Arial" w:hAnsi="Arial" w:cs="Arial"/>
          <w:sz w:val="22"/>
          <w:szCs w:val="22"/>
        </w:rPr>
      </w:pPr>
    </w:p>
    <w:p w:rsidR="00FB0D99" w:rsidRPr="009B12FF" w:rsidRDefault="00FB0D99" w:rsidP="004A5BC7">
      <w:pPr>
        <w:jc w:val="both"/>
        <w:rPr>
          <w:rFonts w:ascii="Arial" w:hAnsi="Arial" w:cs="Arial"/>
          <w:sz w:val="22"/>
          <w:szCs w:val="22"/>
        </w:rPr>
      </w:pPr>
      <w:r w:rsidRPr="009B12FF">
        <w:rPr>
          <w:rFonts w:ascii="Arial" w:hAnsi="Arial" w:cs="Arial"/>
          <w:sz w:val="22"/>
          <w:szCs w:val="22"/>
        </w:rPr>
        <w:t xml:space="preserve">“Optimizar la entrega de recursos mediante el establecimiento de nuevos procedimientos de distribución y el fortalecimiento de </w:t>
      </w:r>
      <w:r w:rsidR="00CC3B21" w:rsidRPr="009B12FF">
        <w:rPr>
          <w:rFonts w:ascii="Arial" w:hAnsi="Arial" w:cs="Arial"/>
          <w:sz w:val="22"/>
          <w:szCs w:val="22"/>
        </w:rPr>
        <w:t>la</w:t>
      </w:r>
      <w:r w:rsidRPr="009B12FF">
        <w:rPr>
          <w:rFonts w:ascii="Arial" w:hAnsi="Arial" w:cs="Arial"/>
          <w:sz w:val="22"/>
          <w:szCs w:val="22"/>
        </w:rPr>
        <w:t xml:space="preserve"> coordinación entre las áreas institucionales que intervienen en el proceso para la entrega oportuna de las utilidades generadas”</w:t>
      </w:r>
    </w:p>
    <w:p w:rsidR="00FB0D99" w:rsidRPr="009B12FF" w:rsidRDefault="00FB0D99" w:rsidP="004A5BC7">
      <w:pPr>
        <w:jc w:val="both"/>
        <w:rPr>
          <w:rFonts w:ascii="Arial" w:hAnsi="Arial" w:cs="Arial"/>
          <w:b/>
          <w:sz w:val="22"/>
          <w:szCs w:val="22"/>
        </w:rPr>
      </w:pPr>
    </w:p>
    <w:p w:rsidR="00FB0D99" w:rsidRPr="009B12FF" w:rsidRDefault="00FB0D99" w:rsidP="004A5BC7">
      <w:pPr>
        <w:rPr>
          <w:rFonts w:ascii="Arial" w:hAnsi="Arial" w:cs="Arial"/>
          <w:b/>
          <w:sz w:val="22"/>
          <w:szCs w:val="22"/>
        </w:rPr>
      </w:pPr>
      <w:r w:rsidRPr="009B12FF">
        <w:rPr>
          <w:rFonts w:ascii="Arial" w:hAnsi="Arial" w:cs="Arial"/>
          <w:b/>
          <w:sz w:val="22"/>
          <w:szCs w:val="22"/>
        </w:rPr>
        <w:t>Objetivo estratégico 2</w:t>
      </w:r>
    </w:p>
    <w:p w:rsidR="00F778CE" w:rsidRPr="009B12FF" w:rsidRDefault="00F778CE" w:rsidP="004A5BC7">
      <w:pPr>
        <w:jc w:val="both"/>
        <w:rPr>
          <w:rFonts w:ascii="Arial" w:hAnsi="Arial" w:cs="Arial"/>
          <w:sz w:val="22"/>
          <w:szCs w:val="22"/>
        </w:rPr>
      </w:pPr>
    </w:p>
    <w:p w:rsidR="00FB0D99" w:rsidRPr="009B12FF" w:rsidRDefault="00FB0D99" w:rsidP="004A5BC7">
      <w:pPr>
        <w:jc w:val="both"/>
        <w:rPr>
          <w:rFonts w:ascii="Arial" w:hAnsi="Arial" w:cs="Arial"/>
          <w:sz w:val="22"/>
          <w:szCs w:val="22"/>
        </w:rPr>
      </w:pPr>
      <w:r w:rsidRPr="009B12FF">
        <w:rPr>
          <w:rFonts w:ascii="Arial" w:hAnsi="Arial" w:cs="Arial"/>
          <w:sz w:val="22"/>
          <w:szCs w:val="22"/>
        </w:rPr>
        <w:t>“Proveer a las personas con discapacidad física, mental o sensorial, de las ayudas técnicas y los servicios de apoyo requeridos, mediante la suscripción de convenios con organizaciones de bienestar social o la entrega directa de ayudas técnicas (Ley 7600 art. 5)”</w:t>
      </w:r>
    </w:p>
    <w:p w:rsidR="00FB0D99" w:rsidRPr="009B12FF" w:rsidRDefault="00FB0D99" w:rsidP="004A5BC7">
      <w:pPr>
        <w:jc w:val="center"/>
        <w:rPr>
          <w:rFonts w:ascii="Arial" w:hAnsi="Arial" w:cs="Arial"/>
          <w:b/>
          <w:sz w:val="22"/>
          <w:szCs w:val="22"/>
        </w:rPr>
      </w:pPr>
    </w:p>
    <w:p w:rsidR="00246C2A" w:rsidRPr="009B12FF" w:rsidRDefault="00246C2A" w:rsidP="004A5BC7">
      <w:pPr>
        <w:rPr>
          <w:rFonts w:ascii="Arial" w:hAnsi="Arial" w:cs="Arial"/>
          <w:b/>
          <w:sz w:val="22"/>
          <w:szCs w:val="22"/>
          <w:u w:val="single"/>
        </w:rPr>
      </w:pPr>
      <w:r w:rsidRPr="009B12FF">
        <w:rPr>
          <w:rFonts w:ascii="Arial" w:hAnsi="Arial" w:cs="Arial"/>
          <w:b/>
          <w:sz w:val="22"/>
          <w:szCs w:val="22"/>
          <w:u w:val="single"/>
        </w:rPr>
        <w:t>Metas Cumplidas</w:t>
      </w:r>
    </w:p>
    <w:p w:rsidR="00E33E79" w:rsidRPr="009B12FF" w:rsidRDefault="00E33E79" w:rsidP="004A5BC7">
      <w:pPr>
        <w:jc w:val="both"/>
        <w:rPr>
          <w:rFonts w:ascii="Arial" w:hAnsi="Arial" w:cs="Arial"/>
          <w:b/>
          <w:sz w:val="22"/>
          <w:szCs w:val="22"/>
        </w:rPr>
      </w:pPr>
    </w:p>
    <w:p w:rsidR="00246C2A" w:rsidRPr="009B12FF" w:rsidRDefault="00246C2A" w:rsidP="004A5BC7">
      <w:pPr>
        <w:jc w:val="both"/>
        <w:rPr>
          <w:rFonts w:ascii="Arial" w:hAnsi="Arial" w:cs="Arial"/>
          <w:b/>
          <w:sz w:val="22"/>
          <w:szCs w:val="22"/>
        </w:rPr>
      </w:pPr>
      <w:r w:rsidRPr="009B12FF">
        <w:rPr>
          <w:rFonts w:ascii="Arial" w:hAnsi="Arial" w:cs="Arial"/>
          <w:b/>
          <w:sz w:val="22"/>
          <w:szCs w:val="22"/>
        </w:rPr>
        <w:t>Indicador 1</w:t>
      </w:r>
    </w:p>
    <w:p w:rsidR="00246C2A" w:rsidRPr="009B12FF" w:rsidRDefault="00246C2A" w:rsidP="004A5BC7">
      <w:pPr>
        <w:ind w:left="360"/>
        <w:jc w:val="both"/>
        <w:rPr>
          <w:rFonts w:ascii="Arial" w:hAnsi="Arial" w:cs="Arial"/>
          <w:b/>
          <w:sz w:val="22"/>
          <w:szCs w:val="22"/>
        </w:rPr>
      </w:pPr>
      <w:r w:rsidRPr="009B12FF">
        <w:rPr>
          <w:rFonts w:ascii="Arial" w:hAnsi="Arial" w:cs="Arial"/>
          <w:b/>
          <w:sz w:val="22"/>
          <w:szCs w:val="22"/>
        </w:rPr>
        <w:t>Porcentaje de recursos transferidos para apoyo a la gestión respecto a las utilidades disponibles de los</w:t>
      </w:r>
      <w:r w:rsidR="007A216A" w:rsidRPr="009B12FF">
        <w:rPr>
          <w:rFonts w:ascii="Arial" w:hAnsi="Arial" w:cs="Arial"/>
          <w:b/>
          <w:sz w:val="22"/>
          <w:szCs w:val="22"/>
        </w:rPr>
        <w:t xml:space="preserve"> meses de enero a diciembre 2013</w:t>
      </w:r>
      <w:r w:rsidRPr="009B12FF">
        <w:rPr>
          <w:rFonts w:ascii="Arial" w:hAnsi="Arial" w:cs="Arial"/>
          <w:b/>
          <w:sz w:val="22"/>
          <w:szCs w:val="22"/>
        </w:rPr>
        <w:t xml:space="preserve"> (producto – eficacia).</w:t>
      </w:r>
    </w:p>
    <w:tbl>
      <w:tblPr>
        <w:tblStyle w:val="Tablaconcuadrcula"/>
        <w:tblW w:w="0" w:type="auto"/>
        <w:tblLook w:val="04A0" w:firstRow="1" w:lastRow="0" w:firstColumn="1" w:lastColumn="0" w:noHBand="0" w:noVBand="1"/>
      </w:tblPr>
      <w:tblGrid>
        <w:gridCol w:w="4968"/>
        <w:gridCol w:w="718"/>
        <w:gridCol w:w="1424"/>
        <w:gridCol w:w="1753"/>
      </w:tblGrid>
      <w:tr w:rsidR="00EA447A" w:rsidRPr="009B12FF" w:rsidTr="004A436F">
        <w:tc>
          <w:tcPr>
            <w:tcW w:w="0" w:type="auto"/>
            <w:vAlign w:val="center"/>
          </w:tcPr>
          <w:p w:rsidR="00EA447A" w:rsidRPr="009B12FF" w:rsidRDefault="00824B5B" w:rsidP="004A5BC7">
            <w:pPr>
              <w:jc w:val="center"/>
              <w:rPr>
                <w:rFonts w:ascii="Arial" w:hAnsi="Arial" w:cs="Arial"/>
                <w:b/>
                <w:sz w:val="22"/>
                <w:szCs w:val="22"/>
              </w:rPr>
            </w:pPr>
            <w:r w:rsidRPr="009B12FF">
              <w:rPr>
                <w:rFonts w:ascii="Arial" w:hAnsi="Arial" w:cs="Arial"/>
                <w:b/>
                <w:sz w:val="22"/>
                <w:szCs w:val="22"/>
              </w:rPr>
              <w:t>Fórmula del Indicador</w:t>
            </w:r>
          </w:p>
        </w:tc>
        <w:tc>
          <w:tcPr>
            <w:tcW w:w="0" w:type="auto"/>
            <w:vAlign w:val="center"/>
          </w:tcPr>
          <w:p w:rsidR="00EA447A" w:rsidRPr="009B12FF" w:rsidRDefault="00EA447A" w:rsidP="004A5BC7">
            <w:pPr>
              <w:jc w:val="center"/>
              <w:rPr>
                <w:rFonts w:ascii="Arial" w:hAnsi="Arial" w:cs="Arial"/>
                <w:b/>
                <w:sz w:val="22"/>
                <w:szCs w:val="22"/>
              </w:rPr>
            </w:pPr>
            <w:r w:rsidRPr="009B12FF">
              <w:rPr>
                <w:rFonts w:ascii="Arial" w:hAnsi="Arial" w:cs="Arial"/>
                <w:b/>
                <w:sz w:val="22"/>
                <w:szCs w:val="22"/>
              </w:rPr>
              <w:t>Meta</w:t>
            </w:r>
          </w:p>
        </w:tc>
        <w:tc>
          <w:tcPr>
            <w:tcW w:w="0" w:type="auto"/>
            <w:vAlign w:val="center"/>
          </w:tcPr>
          <w:p w:rsidR="00EA447A" w:rsidRPr="009B12FF" w:rsidRDefault="00EA447A" w:rsidP="004A5BC7">
            <w:pPr>
              <w:jc w:val="center"/>
              <w:rPr>
                <w:rFonts w:ascii="Arial" w:hAnsi="Arial" w:cs="Arial"/>
                <w:b/>
                <w:sz w:val="22"/>
                <w:szCs w:val="22"/>
              </w:rPr>
            </w:pPr>
            <w:r w:rsidRPr="009B12FF">
              <w:rPr>
                <w:rFonts w:ascii="Arial" w:hAnsi="Arial" w:cs="Arial"/>
                <w:b/>
                <w:sz w:val="22"/>
                <w:szCs w:val="22"/>
              </w:rPr>
              <w:t>Real alcanzado</w:t>
            </w:r>
          </w:p>
        </w:tc>
        <w:tc>
          <w:tcPr>
            <w:tcW w:w="0" w:type="auto"/>
          </w:tcPr>
          <w:p w:rsidR="00EA447A" w:rsidRPr="009B12FF" w:rsidRDefault="00EA447A" w:rsidP="004A5BC7">
            <w:pPr>
              <w:jc w:val="center"/>
              <w:rPr>
                <w:rFonts w:ascii="Arial" w:hAnsi="Arial" w:cs="Arial"/>
                <w:b/>
                <w:sz w:val="22"/>
                <w:szCs w:val="22"/>
              </w:rPr>
            </w:pPr>
            <w:r w:rsidRPr="009B12FF">
              <w:rPr>
                <w:rFonts w:ascii="Arial" w:hAnsi="Arial" w:cs="Arial"/>
                <w:b/>
                <w:sz w:val="22"/>
                <w:szCs w:val="22"/>
              </w:rPr>
              <w:t>% Cumplimiento</w:t>
            </w:r>
          </w:p>
        </w:tc>
      </w:tr>
      <w:tr w:rsidR="00EA447A" w:rsidRPr="009B12FF" w:rsidTr="00683CD4">
        <w:trPr>
          <w:trHeight w:val="1101"/>
        </w:trPr>
        <w:tc>
          <w:tcPr>
            <w:tcW w:w="0" w:type="auto"/>
            <w:vAlign w:val="center"/>
          </w:tcPr>
          <w:p w:rsidR="00EA447A" w:rsidRPr="009B12FF" w:rsidRDefault="00824B5B" w:rsidP="004A5BC7">
            <w:pPr>
              <w:rPr>
                <w:rFonts w:ascii="Arial" w:hAnsi="Arial" w:cs="Arial"/>
                <w:sz w:val="22"/>
                <w:szCs w:val="22"/>
                <w:lang w:val="es-ES"/>
              </w:rPr>
            </w:pPr>
            <w:r w:rsidRPr="009B12FF">
              <w:rPr>
                <w:rFonts w:ascii="Arial" w:hAnsi="Arial" w:cs="Arial"/>
                <w:sz w:val="22"/>
                <w:szCs w:val="22"/>
                <w:lang w:val="es-ES"/>
              </w:rPr>
              <w:t>(Recursos transferidos para apoyo a la gestión año x/Utilidades disponibles en los meses de enero a diciembre</w:t>
            </w:r>
            <w:r w:rsidR="007071FF" w:rsidRPr="009B12FF">
              <w:rPr>
                <w:rFonts w:ascii="Arial" w:hAnsi="Arial" w:cs="Arial"/>
                <w:sz w:val="22"/>
                <w:szCs w:val="22"/>
                <w:lang w:val="es-ES"/>
              </w:rPr>
              <w:t xml:space="preserve"> para apoyo a la gestión año x)*</w:t>
            </w:r>
            <w:r w:rsidRPr="009B12FF">
              <w:rPr>
                <w:rFonts w:ascii="Arial" w:hAnsi="Arial" w:cs="Arial"/>
                <w:sz w:val="22"/>
                <w:szCs w:val="22"/>
                <w:lang w:val="es-ES"/>
              </w:rPr>
              <w:t>100</w:t>
            </w:r>
          </w:p>
        </w:tc>
        <w:tc>
          <w:tcPr>
            <w:tcW w:w="0" w:type="auto"/>
            <w:vAlign w:val="center"/>
          </w:tcPr>
          <w:p w:rsidR="00EA447A" w:rsidRPr="009B12FF" w:rsidRDefault="00824B5B" w:rsidP="004A5BC7">
            <w:pPr>
              <w:jc w:val="center"/>
              <w:rPr>
                <w:rFonts w:ascii="Arial" w:hAnsi="Arial" w:cs="Arial"/>
                <w:sz w:val="22"/>
                <w:szCs w:val="22"/>
              </w:rPr>
            </w:pPr>
            <w:r w:rsidRPr="009B12FF">
              <w:rPr>
                <w:rFonts w:ascii="Arial" w:hAnsi="Arial" w:cs="Arial"/>
                <w:sz w:val="22"/>
                <w:szCs w:val="22"/>
              </w:rPr>
              <w:t>90</w:t>
            </w:r>
            <w:r w:rsidR="00EA447A" w:rsidRPr="009B12FF">
              <w:rPr>
                <w:rFonts w:ascii="Arial" w:hAnsi="Arial" w:cs="Arial"/>
                <w:sz w:val="22"/>
                <w:szCs w:val="22"/>
              </w:rPr>
              <w:t>%</w:t>
            </w:r>
          </w:p>
        </w:tc>
        <w:tc>
          <w:tcPr>
            <w:tcW w:w="0" w:type="auto"/>
            <w:vAlign w:val="center"/>
          </w:tcPr>
          <w:p w:rsidR="00770448" w:rsidRPr="009B12FF" w:rsidRDefault="00770448" w:rsidP="004A5BC7">
            <w:pPr>
              <w:jc w:val="center"/>
              <w:rPr>
                <w:rFonts w:ascii="Arial" w:hAnsi="Arial" w:cs="Arial"/>
                <w:sz w:val="22"/>
                <w:szCs w:val="22"/>
              </w:rPr>
            </w:pPr>
          </w:p>
          <w:p w:rsidR="00CE0F1F" w:rsidRPr="009B12FF" w:rsidRDefault="00CE0F1F" w:rsidP="004A5BC7">
            <w:pPr>
              <w:jc w:val="center"/>
              <w:rPr>
                <w:rFonts w:ascii="Arial" w:hAnsi="Arial" w:cs="Arial"/>
                <w:sz w:val="22"/>
                <w:szCs w:val="22"/>
              </w:rPr>
            </w:pPr>
            <w:r w:rsidRPr="009B12FF">
              <w:rPr>
                <w:rFonts w:ascii="Arial" w:hAnsi="Arial" w:cs="Arial"/>
                <w:sz w:val="22"/>
                <w:szCs w:val="22"/>
              </w:rPr>
              <w:t>106,98%</w:t>
            </w:r>
          </w:p>
          <w:p w:rsidR="00EA447A" w:rsidRPr="009B12FF" w:rsidRDefault="00EA447A" w:rsidP="004A5BC7">
            <w:pPr>
              <w:rPr>
                <w:rFonts w:ascii="Arial" w:hAnsi="Arial" w:cs="Arial"/>
                <w:sz w:val="22"/>
                <w:szCs w:val="22"/>
              </w:rPr>
            </w:pPr>
          </w:p>
        </w:tc>
        <w:tc>
          <w:tcPr>
            <w:tcW w:w="0" w:type="auto"/>
          </w:tcPr>
          <w:p w:rsidR="00770448" w:rsidRPr="009B12FF" w:rsidRDefault="00770448" w:rsidP="004A5BC7">
            <w:pPr>
              <w:jc w:val="center"/>
              <w:rPr>
                <w:rFonts w:ascii="Arial" w:hAnsi="Arial" w:cs="Arial"/>
                <w:sz w:val="22"/>
                <w:szCs w:val="22"/>
              </w:rPr>
            </w:pPr>
          </w:p>
          <w:p w:rsidR="00770448" w:rsidRPr="009B12FF" w:rsidRDefault="00770448" w:rsidP="004A5BC7">
            <w:pPr>
              <w:jc w:val="center"/>
              <w:rPr>
                <w:rFonts w:ascii="Arial" w:hAnsi="Arial" w:cs="Arial"/>
                <w:sz w:val="22"/>
                <w:szCs w:val="22"/>
              </w:rPr>
            </w:pPr>
          </w:p>
          <w:p w:rsidR="00EA447A" w:rsidRPr="009B12FF" w:rsidRDefault="00A31ACE" w:rsidP="004A5BC7">
            <w:pPr>
              <w:jc w:val="center"/>
              <w:rPr>
                <w:rFonts w:ascii="Arial" w:hAnsi="Arial" w:cs="Arial"/>
                <w:sz w:val="22"/>
                <w:szCs w:val="22"/>
              </w:rPr>
            </w:pPr>
            <w:r w:rsidRPr="009B12FF">
              <w:rPr>
                <w:rFonts w:ascii="Arial" w:hAnsi="Arial" w:cs="Arial"/>
                <w:sz w:val="22"/>
                <w:szCs w:val="22"/>
              </w:rPr>
              <w:t>118.87%</w:t>
            </w:r>
          </w:p>
        </w:tc>
      </w:tr>
    </w:tbl>
    <w:p w:rsidR="00F7670B" w:rsidRPr="009B12FF" w:rsidRDefault="00F7670B" w:rsidP="004A5BC7">
      <w:pPr>
        <w:jc w:val="both"/>
        <w:rPr>
          <w:rFonts w:ascii="Arial" w:eastAsia="Calibri" w:hAnsi="Arial" w:cs="Arial"/>
          <w:b/>
          <w:sz w:val="22"/>
          <w:szCs w:val="22"/>
          <w:lang w:eastAsia="en-US"/>
        </w:rPr>
      </w:pPr>
    </w:p>
    <w:p w:rsidR="003C5FF7" w:rsidRPr="009B12FF" w:rsidRDefault="00246C2A" w:rsidP="004A5BC7">
      <w:pPr>
        <w:jc w:val="both"/>
        <w:rPr>
          <w:rFonts w:ascii="Arial" w:hAnsi="Arial" w:cs="Arial"/>
          <w:sz w:val="22"/>
          <w:szCs w:val="22"/>
        </w:rPr>
      </w:pPr>
      <w:r w:rsidRPr="009B12FF">
        <w:rPr>
          <w:rFonts w:ascii="Arial" w:hAnsi="Arial" w:cs="Arial"/>
          <w:sz w:val="22"/>
          <w:szCs w:val="22"/>
        </w:rPr>
        <w:t>Para el establecimiento de este indicador</w:t>
      </w:r>
      <w:r w:rsidR="008B4B94" w:rsidRPr="009B12FF">
        <w:rPr>
          <w:rFonts w:ascii="Arial" w:hAnsi="Arial" w:cs="Arial"/>
          <w:sz w:val="22"/>
          <w:szCs w:val="22"/>
        </w:rPr>
        <w:t xml:space="preserve"> se proyectó un desempeño de </w:t>
      </w:r>
      <w:r w:rsidRPr="009B12FF">
        <w:rPr>
          <w:rFonts w:ascii="Arial" w:hAnsi="Arial" w:cs="Arial"/>
          <w:sz w:val="22"/>
          <w:szCs w:val="22"/>
        </w:rPr>
        <w:t xml:space="preserve">90% de las utilidades disponibles para apoyo a la gestión, corresponde una utilidad proyectada de </w:t>
      </w:r>
      <w:r w:rsidR="003220D5" w:rsidRPr="009B12FF">
        <w:rPr>
          <w:rFonts w:ascii="Arial" w:hAnsi="Arial" w:cs="Arial"/>
          <w:sz w:val="22"/>
          <w:szCs w:val="22"/>
        </w:rPr>
        <w:t>¢10.878.522.713</w:t>
      </w:r>
      <w:r w:rsidRPr="009B12FF">
        <w:rPr>
          <w:rFonts w:ascii="Arial" w:hAnsi="Arial" w:cs="Arial"/>
          <w:sz w:val="22"/>
          <w:szCs w:val="22"/>
        </w:rPr>
        <w:t xml:space="preserve"> del “Sistema de Liquidación – Proyección”, cuyo monto debe de considerarse como la variable final para su respectiva medición.</w:t>
      </w:r>
      <w:r w:rsidR="003C5FF7" w:rsidRPr="009B12FF">
        <w:rPr>
          <w:rFonts w:ascii="Arial" w:hAnsi="Arial" w:cs="Arial"/>
          <w:sz w:val="22"/>
          <w:szCs w:val="22"/>
        </w:rPr>
        <w:t xml:space="preserve"> El porcentaje de cumplimiento de la meta anual alcanza </w:t>
      </w:r>
      <w:r w:rsidR="003220D5" w:rsidRPr="009B12FF">
        <w:rPr>
          <w:rFonts w:ascii="Arial" w:hAnsi="Arial" w:cs="Arial"/>
          <w:sz w:val="22"/>
          <w:szCs w:val="22"/>
        </w:rPr>
        <w:t>118.87%</w:t>
      </w:r>
      <w:r w:rsidR="003C5FF7" w:rsidRPr="009B12FF">
        <w:rPr>
          <w:rFonts w:ascii="Arial" w:hAnsi="Arial" w:cs="Arial"/>
          <w:sz w:val="22"/>
          <w:szCs w:val="22"/>
        </w:rPr>
        <w:t xml:space="preserve">, el monto total transferido para el programa de apoyo a la gestión al finalizar el año asciende a </w:t>
      </w:r>
      <w:r w:rsidR="003220D5" w:rsidRPr="009B12FF">
        <w:rPr>
          <w:rFonts w:ascii="Arial" w:hAnsi="Arial" w:cs="Arial"/>
          <w:sz w:val="22"/>
          <w:szCs w:val="22"/>
        </w:rPr>
        <w:t xml:space="preserve"> ¢11.637.592.275</w:t>
      </w:r>
      <w:r w:rsidR="003C5FF7" w:rsidRPr="009B12FF">
        <w:rPr>
          <w:rFonts w:ascii="Arial" w:hAnsi="Arial" w:cs="Arial"/>
          <w:sz w:val="22"/>
          <w:szCs w:val="22"/>
        </w:rPr>
        <w:t xml:space="preserve"> de los recursos distribuidos efectivamente.  El cumplimiento de este indicador depende de factores externos, como el que las organizaciones beneficiarias no cumplan con la presentación de los requisitos legales (cuotas obrero patronales, cédulas y personerías jurídicas, entre otros). No obstante, conforme las organizaciones cumplieron con los requisitos, se realizaron los giros de los recursos pendientes. </w:t>
      </w:r>
    </w:p>
    <w:p w:rsidR="00EA447A" w:rsidRPr="009B12FF" w:rsidRDefault="00EA447A" w:rsidP="004A5BC7">
      <w:pPr>
        <w:jc w:val="both"/>
        <w:rPr>
          <w:rFonts w:ascii="Arial" w:hAnsi="Arial" w:cs="Arial"/>
          <w:sz w:val="22"/>
          <w:szCs w:val="22"/>
        </w:rPr>
      </w:pPr>
    </w:p>
    <w:p w:rsidR="00246C2A" w:rsidRPr="009B12FF" w:rsidRDefault="00246C2A" w:rsidP="004A5BC7">
      <w:pPr>
        <w:jc w:val="both"/>
        <w:rPr>
          <w:rFonts w:ascii="Arial" w:hAnsi="Arial" w:cs="Arial"/>
          <w:b/>
          <w:sz w:val="22"/>
          <w:szCs w:val="22"/>
        </w:rPr>
      </w:pPr>
      <w:r w:rsidRPr="009B12FF">
        <w:rPr>
          <w:rFonts w:ascii="Arial" w:hAnsi="Arial" w:cs="Arial"/>
          <w:b/>
          <w:sz w:val="22"/>
          <w:szCs w:val="22"/>
        </w:rPr>
        <w:t>Aspec</w:t>
      </w:r>
      <w:r w:rsidR="00EA447A" w:rsidRPr="009B12FF">
        <w:rPr>
          <w:rFonts w:ascii="Arial" w:hAnsi="Arial" w:cs="Arial"/>
          <w:b/>
          <w:sz w:val="22"/>
          <w:szCs w:val="22"/>
        </w:rPr>
        <w:t>tos positivos internos</w:t>
      </w:r>
    </w:p>
    <w:p w:rsidR="00FA2EAA" w:rsidRPr="009B12FF" w:rsidRDefault="00FA2EAA" w:rsidP="004A5BC7">
      <w:pPr>
        <w:jc w:val="both"/>
        <w:rPr>
          <w:rFonts w:ascii="Arial" w:hAnsi="Arial" w:cs="Arial"/>
          <w:b/>
          <w:sz w:val="22"/>
          <w:szCs w:val="22"/>
        </w:rPr>
      </w:pPr>
    </w:p>
    <w:p w:rsidR="003C5FF7" w:rsidRPr="009B12FF" w:rsidRDefault="00246C2A" w:rsidP="004A5BC7">
      <w:pPr>
        <w:jc w:val="both"/>
        <w:rPr>
          <w:rFonts w:ascii="Arial" w:hAnsi="Arial" w:cs="Arial"/>
          <w:sz w:val="22"/>
          <w:szCs w:val="22"/>
        </w:rPr>
      </w:pPr>
      <w:r w:rsidRPr="009B12FF">
        <w:rPr>
          <w:rFonts w:ascii="Arial" w:hAnsi="Arial" w:cs="Arial"/>
          <w:sz w:val="22"/>
          <w:szCs w:val="22"/>
        </w:rPr>
        <w:t>El Departamento de Acción Social,  logra distribuir las uti</w:t>
      </w:r>
      <w:r w:rsidR="00C265D2" w:rsidRPr="009B12FF">
        <w:rPr>
          <w:rFonts w:ascii="Arial" w:hAnsi="Arial" w:cs="Arial"/>
          <w:sz w:val="22"/>
          <w:szCs w:val="22"/>
        </w:rPr>
        <w:t>lidades generadas en el año 2013</w:t>
      </w:r>
      <w:r w:rsidRPr="009B12FF">
        <w:rPr>
          <w:rFonts w:ascii="Arial" w:hAnsi="Arial" w:cs="Arial"/>
          <w:sz w:val="22"/>
          <w:szCs w:val="22"/>
        </w:rPr>
        <w:t>, entre las organizaciones de bienestar social inscritas en el programa de apoyo a la gestión, lo cual permite que puedan cumplir con los objetivos  de su gestión.</w:t>
      </w:r>
      <w:r w:rsidR="003C5FF7" w:rsidRPr="009B12FF">
        <w:rPr>
          <w:rFonts w:ascii="Arial" w:hAnsi="Arial" w:cs="Arial"/>
          <w:sz w:val="22"/>
          <w:szCs w:val="22"/>
        </w:rPr>
        <w:t xml:space="preserve"> Con el fin de optimizar la distribución de los recursos y mejorar los mecanismos de control requeridos, las Unidades Administrativas involucradas en el proceso, elaboraron un cronograma  para el giro mensual de los dineros, con el cual se garantiza que las distribuciones  se realicen en la primera quincena del mes, para que el giro se haga efectivo a más tardar los días 20 de cada mes.</w:t>
      </w:r>
    </w:p>
    <w:p w:rsidR="00246C2A" w:rsidRPr="009B12FF" w:rsidRDefault="00246C2A" w:rsidP="004A5BC7">
      <w:pPr>
        <w:jc w:val="both"/>
        <w:rPr>
          <w:rFonts w:ascii="Arial" w:hAnsi="Arial" w:cs="Arial"/>
          <w:sz w:val="22"/>
          <w:szCs w:val="22"/>
        </w:rPr>
      </w:pPr>
    </w:p>
    <w:p w:rsidR="00246C2A" w:rsidRPr="009B12FF" w:rsidRDefault="00246C2A" w:rsidP="004A5BC7">
      <w:pPr>
        <w:jc w:val="both"/>
        <w:rPr>
          <w:rFonts w:ascii="Arial" w:hAnsi="Arial" w:cs="Arial"/>
          <w:b/>
          <w:sz w:val="22"/>
          <w:szCs w:val="22"/>
        </w:rPr>
      </w:pPr>
      <w:r w:rsidRPr="009B12FF">
        <w:rPr>
          <w:rFonts w:ascii="Arial" w:hAnsi="Arial" w:cs="Arial"/>
          <w:b/>
          <w:sz w:val="22"/>
          <w:szCs w:val="22"/>
        </w:rPr>
        <w:t>Aspectos positivos externos</w:t>
      </w:r>
    </w:p>
    <w:p w:rsidR="00FA2EAA" w:rsidRPr="009B12FF" w:rsidRDefault="00FA2EAA" w:rsidP="004A5BC7">
      <w:pPr>
        <w:jc w:val="both"/>
        <w:rPr>
          <w:rFonts w:ascii="Arial" w:hAnsi="Arial" w:cs="Arial"/>
          <w:b/>
          <w:sz w:val="22"/>
          <w:szCs w:val="22"/>
        </w:rPr>
      </w:pPr>
    </w:p>
    <w:p w:rsidR="00246C2A" w:rsidRPr="009B12FF" w:rsidRDefault="00246C2A" w:rsidP="004A5BC7">
      <w:pPr>
        <w:jc w:val="both"/>
        <w:rPr>
          <w:rFonts w:ascii="Arial" w:hAnsi="Arial" w:cs="Arial"/>
          <w:sz w:val="22"/>
          <w:szCs w:val="22"/>
        </w:rPr>
      </w:pPr>
      <w:r w:rsidRPr="009B12FF">
        <w:rPr>
          <w:rFonts w:ascii="Arial" w:hAnsi="Arial" w:cs="Arial"/>
          <w:sz w:val="22"/>
          <w:szCs w:val="22"/>
        </w:rPr>
        <w:t>Las organizaciones de bienestar social, a través de la experiencia acumulada, han desarrollando un mayor compromiso en cuanto al cumplimiento de requisitos, razón por la cual la distribución de los recursos se realiza con la celeridad requerida.</w:t>
      </w:r>
    </w:p>
    <w:p w:rsidR="00F7670B" w:rsidRPr="009B12FF" w:rsidRDefault="00F7670B" w:rsidP="004A5BC7">
      <w:pPr>
        <w:jc w:val="both"/>
        <w:rPr>
          <w:rFonts w:ascii="Arial" w:hAnsi="Arial" w:cs="Arial"/>
          <w:sz w:val="22"/>
          <w:szCs w:val="22"/>
        </w:rPr>
      </w:pPr>
    </w:p>
    <w:p w:rsidR="00246C2A" w:rsidRPr="009B12FF" w:rsidRDefault="00246C2A" w:rsidP="004A5BC7">
      <w:pPr>
        <w:jc w:val="both"/>
        <w:rPr>
          <w:rFonts w:ascii="Arial" w:hAnsi="Arial" w:cs="Arial"/>
          <w:b/>
          <w:sz w:val="22"/>
          <w:szCs w:val="22"/>
        </w:rPr>
      </w:pPr>
      <w:r w:rsidRPr="009B12FF">
        <w:rPr>
          <w:rFonts w:ascii="Arial" w:hAnsi="Arial" w:cs="Arial"/>
          <w:b/>
          <w:sz w:val="22"/>
          <w:szCs w:val="22"/>
        </w:rPr>
        <w:t>Cómo repercutió en l</w:t>
      </w:r>
      <w:r w:rsidR="007E0F59" w:rsidRPr="009B12FF">
        <w:rPr>
          <w:rFonts w:ascii="Arial" w:hAnsi="Arial" w:cs="Arial"/>
          <w:b/>
          <w:sz w:val="22"/>
          <w:szCs w:val="22"/>
        </w:rPr>
        <w:t>a entrega de bienes y servicios.</w:t>
      </w:r>
    </w:p>
    <w:p w:rsidR="00FA2EAA" w:rsidRPr="009B12FF" w:rsidRDefault="00FA2EAA" w:rsidP="004A5BC7">
      <w:pPr>
        <w:jc w:val="both"/>
        <w:rPr>
          <w:rFonts w:ascii="Arial" w:hAnsi="Arial" w:cs="Arial"/>
          <w:b/>
          <w:sz w:val="22"/>
          <w:szCs w:val="22"/>
        </w:rPr>
      </w:pPr>
    </w:p>
    <w:p w:rsidR="003C5FF7" w:rsidRPr="009B12FF" w:rsidRDefault="00246C2A" w:rsidP="004A5BC7">
      <w:pPr>
        <w:jc w:val="both"/>
        <w:rPr>
          <w:rFonts w:ascii="Arial" w:hAnsi="Arial" w:cs="Arial"/>
          <w:sz w:val="22"/>
          <w:szCs w:val="22"/>
        </w:rPr>
      </w:pPr>
      <w:r w:rsidRPr="009B12FF">
        <w:rPr>
          <w:rFonts w:ascii="Arial" w:hAnsi="Arial" w:cs="Arial"/>
          <w:sz w:val="22"/>
          <w:szCs w:val="22"/>
        </w:rPr>
        <w:t>Las entidades beneficiarias están en capacidad de realizar una mejor planificación de su gestión, al contar con recursos fijos para la atención de sus necesidades, lo que permite a los sectores sociales beneficiarios,  mantener mejores condiciones de vida.</w:t>
      </w:r>
      <w:r w:rsidR="003C5FF7" w:rsidRPr="009B12FF">
        <w:rPr>
          <w:rFonts w:ascii="Arial" w:hAnsi="Arial" w:cs="Arial"/>
          <w:sz w:val="22"/>
          <w:szCs w:val="22"/>
        </w:rPr>
        <w:t xml:space="preserve"> Estas organizaciones que reciben recursos para el programa de apoyo a la gestión se benefician de su entrega oportuna, con el fin de solventar necesidades en lo que se refiere a: Alimentación, vestuario, diversión y salud, alojamiento, entre otras, que coadyuvan en la Calidad de Vida de los beneficiarios directos en las diferentes áreas que se atienden a saber:</w:t>
      </w:r>
    </w:p>
    <w:p w:rsidR="0050735B" w:rsidRPr="009B12FF" w:rsidRDefault="0050735B" w:rsidP="004A5BC7">
      <w:pPr>
        <w:jc w:val="both"/>
        <w:rPr>
          <w:rFonts w:ascii="Arial" w:hAnsi="Arial" w:cs="Arial"/>
          <w:sz w:val="22"/>
          <w:szCs w:val="22"/>
        </w:rPr>
      </w:pPr>
    </w:p>
    <w:tbl>
      <w:tblPr>
        <w:tblW w:w="6996" w:type="dxa"/>
        <w:jc w:val="center"/>
        <w:tblCellMar>
          <w:left w:w="70" w:type="dxa"/>
          <w:right w:w="70" w:type="dxa"/>
        </w:tblCellMar>
        <w:tblLook w:val="04A0" w:firstRow="1" w:lastRow="0" w:firstColumn="1" w:lastColumn="0" w:noHBand="0" w:noVBand="1"/>
      </w:tblPr>
      <w:tblGrid>
        <w:gridCol w:w="3917"/>
        <w:gridCol w:w="3079"/>
      </w:tblGrid>
      <w:tr w:rsidR="00246C2A" w:rsidRPr="009B12FF" w:rsidTr="0050735B">
        <w:trPr>
          <w:trHeight w:val="282"/>
          <w:jc w:val="center"/>
        </w:trPr>
        <w:tc>
          <w:tcPr>
            <w:tcW w:w="3917"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rsidR="003C5FF7" w:rsidRPr="009B12FF" w:rsidRDefault="003C5FF7" w:rsidP="004A5BC7">
            <w:pPr>
              <w:jc w:val="center"/>
              <w:rPr>
                <w:rFonts w:ascii="Arial" w:hAnsi="Arial" w:cs="Arial"/>
                <w:b/>
                <w:sz w:val="22"/>
                <w:szCs w:val="22"/>
              </w:rPr>
            </w:pPr>
            <w:r w:rsidRPr="009B12FF">
              <w:rPr>
                <w:rFonts w:ascii="Arial" w:hAnsi="Arial" w:cs="Arial"/>
                <w:b/>
                <w:sz w:val="22"/>
                <w:szCs w:val="22"/>
              </w:rPr>
              <w:t>Utilidades distribuidas por Área</w:t>
            </w:r>
          </w:p>
          <w:p w:rsidR="00246C2A" w:rsidRPr="009B12FF" w:rsidRDefault="00246C2A" w:rsidP="004A5BC7">
            <w:pPr>
              <w:jc w:val="center"/>
              <w:rPr>
                <w:rFonts w:ascii="Arial" w:eastAsia="Times New Roman" w:hAnsi="Arial" w:cs="Arial"/>
                <w:b/>
                <w:bCs/>
                <w:color w:val="000000"/>
                <w:sz w:val="22"/>
                <w:szCs w:val="22"/>
              </w:rPr>
            </w:pPr>
          </w:p>
        </w:tc>
        <w:tc>
          <w:tcPr>
            <w:tcW w:w="3079" w:type="dxa"/>
            <w:tcBorders>
              <w:top w:val="single" w:sz="4" w:space="0" w:color="auto"/>
              <w:left w:val="nil"/>
              <w:bottom w:val="single" w:sz="4" w:space="0" w:color="auto"/>
              <w:right w:val="single" w:sz="4" w:space="0" w:color="auto"/>
            </w:tcBorders>
            <w:shd w:val="clear" w:color="000000" w:fill="FDE9D9"/>
            <w:noWrap/>
            <w:vAlign w:val="bottom"/>
            <w:hideMark/>
          </w:tcPr>
          <w:p w:rsidR="00246C2A" w:rsidRPr="009B12FF" w:rsidRDefault="00246C2A" w:rsidP="004A5BC7">
            <w:pPr>
              <w:jc w:val="center"/>
              <w:rPr>
                <w:rFonts w:ascii="Arial" w:eastAsia="Times New Roman" w:hAnsi="Arial" w:cs="Arial"/>
                <w:b/>
                <w:bCs/>
                <w:color w:val="000000"/>
                <w:sz w:val="22"/>
                <w:szCs w:val="22"/>
              </w:rPr>
            </w:pPr>
            <w:r w:rsidRPr="009B12FF">
              <w:rPr>
                <w:rFonts w:ascii="Arial" w:eastAsia="Times New Roman" w:hAnsi="Arial" w:cs="Arial"/>
                <w:b/>
                <w:bCs/>
                <w:color w:val="000000"/>
                <w:sz w:val="22"/>
                <w:szCs w:val="22"/>
              </w:rPr>
              <w:t>MONTO</w:t>
            </w:r>
          </w:p>
        </w:tc>
      </w:tr>
      <w:tr w:rsidR="00C265D2" w:rsidRPr="009B12FF" w:rsidTr="00D10196">
        <w:trPr>
          <w:trHeight w:val="290"/>
          <w:jc w:val="center"/>
        </w:trPr>
        <w:tc>
          <w:tcPr>
            <w:tcW w:w="3917" w:type="dxa"/>
            <w:tcBorders>
              <w:top w:val="nil"/>
              <w:left w:val="single" w:sz="4" w:space="0" w:color="auto"/>
              <w:bottom w:val="single" w:sz="4" w:space="0" w:color="auto"/>
              <w:right w:val="single" w:sz="4" w:space="0" w:color="auto"/>
            </w:tcBorders>
            <w:shd w:val="clear" w:color="000000" w:fill="FFFFFF"/>
            <w:noWrap/>
            <w:hideMark/>
          </w:tcPr>
          <w:p w:rsidR="00C265D2" w:rsidRPr="009B12FF" w:rsidRDefault="00C265D2" w:rsidP="004A5BC7">
            <w:pPr>
              <w:rPr>
                <w:rFonts w:ascii="Arial" w:eastAsia="Times New Roman" w:hAnsi="Arial" w:cs="Arial"/>
                <w:sz w:val="22"/>
                <w:szCs w:val="22"/>
              </w:rPr>
            </w:pPr>
            <w:r w:rsidRPr="009B12FF">
              <w:rPr>
                <w:rFonts w:ascii="Arial" w:eastAsia="Times New Roman" w:hAnsi="Arial" w:cs="Arial"/>
                <w:sz w:val="22"/>
                <w:szCs w:val="22"/>
              </w:rPr>
              <w:t>Adulto Mayor</w:t>
            </w:r>
          </w:p>
        </w:tc>
        <w:tc>
          <w:tcPr>
            <w:tcW w:w="3079" w:type="dxa"/>
            <w:tcBorders>
              <w:top w:val="nil"/>
              <w:left w:val="nil"/>
              <w:bottom w:val="single" w:sz="4" w:space="0" w:color="auto"/>
              <w:right w:val="single" w:sz="4" w:space="0" w:color="auto"/>
            </w:tcBorders>
            <w:shd w:val="clear" w:color="000000" w:fill="FFFFFF"/>
            <w:noWrap/>
            <w:hideMark/>
          </w:tcPr>
          <w:p w:rsidR="00C265D2" w:rsidRPr="009B12FF" w:rsidRDefault="00C265D2" w:rsidP="004A5BC7">
            <w:pPr>
              <w:jc w:val="right"/>
              <w:rPr>
                <w:rFonts w:ascii="Arial" w:eastAsia="Times New Roman" w:hAnsi="Arial" w:cs="Arial"/>
                <w:sz w:val="22"/>
                <w:szCs w:val="22"/>
              </w:rPr>
            </w:pPr>
            <w:r w:rsidRPr="009B12FF">
              <w:rPr>
                <w:rFonts w:ascii="Arial" w:eastAsia="Times New Roman" w:hAnsi="Arial" w:cs="Arial"/>
                <w:sz w:val="22"/>
                <w:szCs w:val="22"/>
              </w:rPr>
              <w:t>5,313,344,516.14</w:t>
            </w:r>
          </w:p>
        </w:tc>
      </w:tr>
      <w:tr w:rsidR="00C265D2" w:rsidRPr="009B12FF" w:rsidTr="00D10196">
        <w:trPr>
          <w:trHeight w:val="290"/>
          <w:jc w:val="center"/>
        </w:trPr>
        <w:tc>
          <w:tcPr>
            <w:tcW w:w="3917" w:type="dxa"/>
            <w:tcBorders>
              <w:top w:val="nil"/>
              <w:left w:val="single" w:sz="4" w:space="0" w:color="auto"/>
              <w:bottom w:val="single" w:sz="4" w:space="0" w:color="auto"/>
              <w:right w:val="single" w:sz="4" w:space="0" w:color="auto"/>
            </w:tcBorders>
            <w:shd w:val="clear" w:color="000000" w:fill="FFFFFF"/>
            <w:noWrap/>
            <w:hideMark/>
          </w:tcPr>
          <w:p w:rsidR="00C265D2" w:rsidRPr="009B12FF" w:rsidRDefault="00C265D2" w:rsidP="004A5BC7">
            <w:pPr>
              <w:rPr>
                <w:rFonts w:ascii="Arial" w:eastAsia="Times New Roman" w:hAnsi="Arial" w:cs="Arial"/>
                <w:sz w:val="22"/>
                <w:szCs w:val="22"/>
              </w:rPr>
            </w:pPr>
            <w:r w:rsidRPr="009B12FF">
              <w:rPr>
                <w:rFonts w:ascii="Arial" w:eastAsia="Times New Roman" w:hAnsi="Arial" w:cs="Arial"/>
                <w:sz w:val="22"/>
                <w:szCs w:val="22"/>
              </w:rPr>
              <w:t>Centros Diurnos</w:t>
            </w:r>
          </w:p>
        </w:tc>
        <w:tc>
          <w:tcPr>
            <w:tcW w:w="3079" w:type="dxa"/>
            <w:tcBorders>
              <w:top w:val="nil"/>
              <w:left w:val="nil"/>
              <w:bottom w:val="single" w:sz="4" w:space="0" w:color="auto"/>
              <w:right w:val="single" w:sz="4" w:space="0" w:color="auto"/>
            </w:tcBorders>
            <w:shd w:val="clear" w:color="000000" w:fill="FFFFFF"/>
            <w:noWrap/>
            <w:hideMark/>
          </w:tcPr>
          <w:p w:rsidR="00C265D2" w:rsidRPr="009B12FF" w:rsidRDefault="00C265D2" w:rsidP="004A5BC7">
            <w:pPr>
              <w:jc w:val="right"/>
              <w:rPr>
                <w:rFonts w:ascii="Arial" w:eastAsia="Times New Roman" w:hAnsi="Arial" w:cs="Arial"/>
                <w:sz w:val="22"/>
                <w:szCs w:val="22"/>
              </w:rPr>
            </w:pPr>
            <w:r w:rsidRPr="009B12FF">
              <w:rPr>
                <w:rFonts w:ascii="Arial" w:eastAsia="Times New Roman" w:hAnsi="Arial" w:cs="Arial"/>
                <w:sz w:val="22"/>
                <w:szCs w:val="22"/>
              </w:rPr>
              <w:t>1,406,023,787.52</w:t>
            </w:r>
          </w:p>
        </w:tc>
      </w:tr>
      <w:tr w:rsidR="00C265D2" w:rsidRPr="009B12FF" w:rsidTr="00D10196">
        <w:trPr>
          <w:trHeight w:val="290"/>
          <w:jc w:val="center"/>
        </w:trPr>
        <w:tc>
          <w:tcPr>
            <w:tcW w:w="3917" w:type="dxa"/>
            <w:tcBorders>
              <w:top w:val="nil"/>
              <w:left w:val="single" w:sz="4" w:space="0" w:color="auto"/>
              <w:bottom w:val="single" w:sz="4" w:space="0" w:color="auto"/>
              <w:right w:val="single" w:sz="4" w:space="0" w:color="auto"/>
            </w:tcBorders>
            <w:shd w:val="clear" w:color="000000" w:fill="FFFFFF"/>
            <w:noWrap/>
            <w:hideMark/>
          </w:tcPr>
          <w:p w:rsidR="00C265D2" w:rsidRPr="009B12FF" w:rsidRDefault="00C265D2" w:rsidP="004A5BC7">
            <w:pPr>
              <w:rPr>
                <w:rFonts w:ascii="Arial" w:eastAsia="Times New Roman" w:hAnsi="Arial" w:cs="Arial"/>
                <w:sz w:val="22"/>
                <w:szCs w:val="22"/>
              </w:rPr>
            </w:pPr>
            <w:r w:rsidRPr="009B12FF">
              <w:rPr>
                <w:rFonts w:ascii="Arial" w:eastAsia="Times New Roman" w:hAnsi="Arial" w:cs="Arial"/>
                <w:sz w:val="22"/>
                <w:szCs w:val="22"/>
              </w:rPr>
              <w:t>Menores Abandono</w:t>
            </w:r>
          </w:p>
        </w:tc>
        <w:tc>
          <w:tcPr>
            <w:tcW w:w="3079" w:type="dxa"/>
            <w:tcBorders>
              <w:top w:val="nil"/>
              <w:left w:val="nil"/>
              <w:bottom w:val="single" w:sz="4" w:space="0" w:color="auto"/>
              <w:right w:val="single" w:sz="4" w:space="0" w:color="auto"/>
            </w:tcBorders>
            <w:shd w:val="clear" w:color="000000" w:fill="FFFFFF"/>
            <w:noWrap/>
            <w:hideMark/>
          </w:tcPr>
          <w:p w:rsidR="00C265D2" w:rsidRPr="009B12FF" w:rsidRDefault="00C265D2" w:rsidP="004A5BC7">
            <w:pPr>
              <w:jc w:val="right"/>
              <w:rPr>
                <w:rFonts w:ascii="Arial" w:eastAsia="Times New Roman" w:hAnsi="Arial" w:cs="Arial"/>
                <w:sz w:val="22"/>
                <w:szCs w:val="22"/>
              </w:rPr>
            </w:pPr>
            <w:r w:rsidRPr="009B12FF">
              <w:rPr>
                <w:rFonts w:ascii="Arial" w:eastAsia="Times New Roman" w:hAnsi="Arial" w:cs="Arial"/>
                <w:sz w:val="22"/>
                <w:szCs w:val="22"/>
              </w:rPr>
              <w:t>1,215,289,133.53</w:t>
            </w:r>
          </w:p>
        </w:tc>
      </w:tr>
      <w:tr w:rsidR="00C265D2" w:rsidRPr="009B12FF" w:rsidTr="00D10196">
        <w:trPr>
          <w:trHeight w:val="290"/>
          <w:jc w:val="center"/>
        </w:trPr>
        <w:tc>
          <w:tcPr>
            <w:tcW w:w="3917" w:type="dxa"/>
            <w:tcBorders>
              <w:top w:val="nil"/>
              <w:left w:val="single" w:sz="4" w:space="0" w:color="auto"/>
              <w:bottom w:val="single" w:sz="4" w:space="0" w:color="auto"/>
              <w:right w:val="single" w:sz="4" w:space="0" w:color="auto"/>
            </w:tcBorders>
            <w:shd w:val="clear" w:color="000000" w:fill="FFFFFF"/>
            <w:noWrap/>
            <w:hideMark/>
          </w:tcPr>
          <w:p w:rsidR="00C265D2" w:rsidRPr="009B12FF" w:rsidRDefault="00C265D2" w:rsidP="004A5BC7">
            <w:pPr>
              <w:rPr>
                <w:rFonts w:ascii="Arial" w:eastAsia="Times New Roman" w:hAnsi="Arial" w:cs="Arial"/>
                <w:sz w:val="22"/>
                <w:szCs w:val="22"/>
              </w:rPr>
            </w:pPr>
            <w:r w:rsidRPr="009B12FF">
              <w:rPr>
                <w:rFonts w:ascii="Arial" w:eastAsia="Times New Roman" w:hAnsi="Arial" w:cs="Arial"/>
                <w:sz w:val="22"/>
                <w:szCs w:val="22"/>
              </w:rPr>
              <w:t>Cruzada Nacional de Protec. al Anciano</w:t>
            </w:r>
          </w:p>
        </w:tc>
        <w:tc>
          <w:tcPr>
            <w:tcW w:w="3079" w:type="dxa"/>
            <w:tcBorders>
              <w:top w:val="nil"/>
              <w:left w:val="nil"/>
              <w:bottom w:val="single" w:sz="4" w:space="0" w:color="auto"/>
              <w:right w:val="single" w:sz="4" w:space="0" w:color="auto"/>
            </w:tcBorders>
            <w:shd w:val="clear" w:color="000000" w:fill="FFFFFF"/>
            <w:noWrap/>
            <w:hideMark/>
          </w:tcPr>
          <w:p w:rsidR="00C265D2" w:rsidRPr="009B12FF" w:rsidRDefault="00C265D2" w:rsidP="004A5BC7">
            <w:pPr>
              <w:jc w:val="right"/>
              <w:rPr>
                <w:rFonts w:ascii="Arial" w:eastAsia="Times New Roman" w:hAnsi="Arial" w:cs="Arial"/>
                <w:sz w:val="22"/>
                <w:szCs w:val="22"/>
              </w:rPr>
            </w:pPr>
            <w:r w:rsidRPr="009B12FF">
              <w:rPr>
                <w:rFonts w:ascii="Arial" w:eastAsia="Times New Roman" w:hAnsi="Arial" w:cs="Arial"/>
                <w:sz w:val="22"/>
                <w:szCs w:val="22"/>
              </w:rPr>
              <w:t>93,390,122.41</w:t>
            </w:r>
          </w:p>
        </w:tc>
      </w:tr>
      <w:tr w:rsidR="00C265D2" w:rsidRPr="009B12FF" w:rsidTr="00D10196">
        <w:trPr>
          <w:trHeight w:val="290"/>
          <w:jc w:val="center"/>
        </w:trPr>
        <w:tc>
          <w:tcPr>
            <w:tcW w:w="3917" w:type="dxa"/>
            <w:tcBorders>
              <w:top w:val="nil"/>
              <w:left w:val="single" w:sz="4" w:space="0" w:color="auto"/>
              <w:bottom w:val="single" w:sz="4" w:space="0" w:color="auto"/>
              <w:right w:val="single" w:sz="4" w:space="0" w:color="auto"/>
            </w:tcBorders>
            <w:shd w:val="clear" w:color="000000" w:fill="FFFFFF"/>
            <w:noWrap/>
            <w:hideMark/>
          </w:tcPr>
          <w:p w:rsidR="00C265D2" w:rsidRPr="009B12FF" w:rsidRDefault="00C265D2" w:rsidP="004A5BC7">
            <w:pPr>
              <w:rPr>
                <w:rFonts w:ascii="Arial" w:eastAsia="Times New Roman" w:hAnsi="Arial" w:cs="Arial"/>
                <w:sz w:val="22"/>
                <w:szCs w:val="22"/>
              </w:rPr>
            </w:pPr>
            <w:r w:rsidRPr="009B12FF">
              <w:rPr>
                <w:rFonts w:ascii="Arial" w:eastAsia="Times New Roman" w:hAnsi="Arial" w:cs="Arial"/>
                <w:sz w:val="22"/>
                <w:szCs w:val="22"/>
              </w:rPr>
              <w:t>VIH/SIDA</w:t>
            </w:r>
          </w:p>
        </w:tc>
        <w:tc>
          <w:tcPr>
            <w:tcW w:w="3079" w:type="dxa"/>
            <w:tcBorders>
              <w:top w:val="nil"/>
              <w:left w:val="nil"/>
              <w:bottom w:val="single" w:sz="4" w:space="0" w:color="auto"/>
              <w:right w:val="single" w:sz="4" w:space="0" w:color="auto"/>
            </w:tcBorders>
            <w:shd w:val="clear" w:color="000000" w:fill="FFFFFF"/>
            <w:noWrap/>
            <w:hideMark/>
          </w:tcPr>
          <w:p w:rsidR="00C265D2" w:rsidRPr="009B12FF" w:rsidRDefault="00C265D2" w:rsidP="004A5BC7">
            <w:pPr>
              <w:jc w:val="right"/>
              <w:rPr>
                <w:rFonts w:ascii="Arial" w:eastAsia="Times New Roman" w:hAnsi="Arial" w:cs="Arial"/>
                <w:sz w:val="22"/>
                <w:szCs w:val="22"/>
              </w:rPr>
            </w:pPr>
            <w:r w:rsidRPr="009B12FF">
              <w:rPr>
                <w:rFonts w:ascii="Arial" w:eastAsia="Times New Roman" w:hAnsi="Arial" w:cs="Arial"/>
                <w:sz w:val="22"/>
                <w:szCs w:val="22"/>
              </w:rPr>
              <w:t>80,103,848.12</w:t>
            </w:r>
          </w:p>
        </w:tc>
      </w:tr>
      <w:tr w:rsidR="00C265D2" w:rsidRPr="009B12FF" w:rsidTr="00D10196">
        <w:trPr>
          <w:trHeight w:val="290"/>
          <w:jc w:val="center"/>
        </w:trPr>
        <w:tc>
          <w:tcPr>
            <w:tcW w:w="3917" w:type="dxa"/>
            <w:tcBorders>
              <w:top w:val="nil"/>
              <w:left w:val="single" w:sz="4" w:space="0" w:color="auto"/>
              <w:bottom w:val="single" w:sz="4" w:space="0" w:color="auto"/>
              <w:right w:val="single" w:sz="4" w:space="0" w:color="auto"/>
            </w:tcBorders>
            <w:shd w:val="clear" w:color="000000" w:fill="FFFFFF"/>
            <w:noWrap/>
            <w:hideMark/>
          </w:tcPr>
          <w:p w:rsidR="00C265D2" w:rsidRPr="009B12FF" w:rsidRDefault="00C265D2" w:rsidP="004A5BC7">
            <w:pPr>
              <w:rPr>
                <w:rFonts w:ascii="Arial" w:eastAsia="Times New Roman" w:hAnsi="Arial" w:cs="Arial"/>
                <w:sz w:val="22"/>
                <w:szCs w:val="22"/>
              </w:rPr>
            </w:pPr>
            <w:r w:rsidRPr="009B12FF">
              <w:rPr>
                <w:rFonts w:ascii="Arial" w:eastAsia="Times New Roman" w:hAnsi="Arial" w:cs="Arial"/>
                <w:sz w:val="22"/>
                <w:szCs w:val="22"/>
              </w:rPr>
              <w:t>Menores privados libertad</w:t>
            </w:r>
          </w:p>
        </w:tc>
        <w:tc>
          <w:tcPr>
            <w:tcW w:w="3079" w:type="dxa"/>
            <w:tcBorders>
              <w:top w:val="nil"/>
              <w:left w:val="nil"/>
              <w:bottom w:val="single" w:sz="4" w:space="0" w:color="auto"/>
              <w:right w:val="single" w:sz="4" w:space="0" w:color="auto"/>
            </w:tcBorders>
            <w:shd w:val="clear" w:color="000000" w:fill="FFFFFF"/>
            <w:noWrap/>
            <w:hideMark/>
          </w:tcPr>
          <w:p w:rsidR="00C265D2" w:rsidRPr="009B12FF" w:rsidRDefault="00C265D2" w:rsidP="004A5BC7">
            <w:pPr>
              <w:jc w:val="right"/>
              <w:rPr>
                <w:rFonts w:ascii="Arial" w:eastAsia="Times New Roman" w:hAnsi="Arial" w:cs="Arial"/>
                <w:sz w:val="22"/>
                <w:szCs w:val="22"/>
              </w:rPr>
            </w:pPr>
            <w:r w:rsidRPr="009B12FF">
              <w:rPr>
                <w:rFonts w:ascii="Arial" w:eastAsia="Times New Roman" w:hAnsi="Arial" w:cs="Arial"/>
                <w:sz w:val="22"/>
                <w:szCs w:val="22"/>
              </w:rPr>
              <w:t>239,106,154.18</w:t>
            </w:r>
          </w:p>
        </w:tc>
      </w:tr>
      <w:tr w:rsidR="00C265D2" w:rsidRPr="009B12FF" w:rsidTr="00D10196">
        <w:trPr>
          <w:trHeight w:val="290"/>
          <w:jc w:val="center"/>
        </w:trPr>
        <w:tc>
          <w:tcPr>
            <w:tcW w:w="3917" w:type="dxa"/>
            <w:tcBorders>
              <w:top w:val="nil"/>
              <w:left w:val="single" w:sz="4" w:space="0" w:color="auto"/>
              <w:bottom w:val="single" w:sz="4" w:space="0" w:color="auto"/>
              <w:right w:val="single" w:sz="4" w:space="0" w:color="auto"/>
            </w:tcBorders>
            <w:shd w:val="clear" w:color="000000" w:fill="FFFFFF"/>
            <w:noWrap/>
            <w:hideMark/>
          </w:tcPr>
          <w:p w:rsidR="00C265D2" w:rsidRPr="009B12FF" w:rsidRDefault="00C265D2" w:rsidP="004A5BC7">
            <w:pPr>
              <w:rPr>
                <w:rFonts w:ascii="Arial" w:eastAsia="Times New Roman" w:hAnsi="Arial" w:cs="Arial"/>
                <w:sz w:val="22"/>
                <w:szCs w:val="22"/>
              </w:rPr>
            </w:pPr>
            <w:r w:rsidRPr="009B12FF">
              <w:rPr>
                <w:rFonts w:ascii="Arial" w:eastAsia="Times New Roman" w:hAnsi="Arial" w:cs="Arial"/>
                <w:sz w:val="22"/>
                <w:szCs w:val="22"/>
              </w:rPr>
              <w:t>Discapacidad</w:t>
            </w:r>
          </w:p>
        </w:tc>
        <w:tc>
          <w:tcPr>
            <w:tcW w:w="3079" w:type="dxa"/>
            <w:tcBorders>
              <w:top w:val="nil"/>
              <w:left w:val="nil"/>
              <w:bottom w:val="single" w:sz="4" w:space="0" w:color="auto"/>
              <w:right w:val="single" w:sz="4" w:space="0" w:color="auto"/>
            </w:tcBorders>
            <w:shd w:val="clear" w:color="000000" w:fill="FFFFFF"/>
            <w:noWrap/>
            <w:hideMark/>
          </w:tcPr>
          <w:p w:rsidR="00C265D2" w:rsidRPr="009B12FF" w:rsidRDefault="00C265D2" w:rsidP="004A5BC7">
            <w:pPr>
              <w:jc w:val="right"/>
              <w:rPr>
                <w:rFonts w:ascii="Arial" w:eastAsia="Times New Roman" w:hAnsi="Arial" w:cs="Arial"/>
                <w:sz w:val="22"/>
                <w:szCs w:val="22"/>
              </w:rPr>
            </w:pPr>
            <w:r w:rsidRPr="009B12FF">
              <w:rPr>
                <w:rFonts w:ascii="Arial" w:eastAsia="Times New Roman" w:hAnsi="Arial" w:cs="Arial"/>
                <w:sz w:val="22"/>
                <w:szCs w:val="22"/>
              </w:rPr>
              <w:t>786,326,643.23</w:t>
            </w:r>
          </w:p>
        </w:tc>
      </w:tr>
      <w:tr w:rsidR="00C265D2" w:rsidRPr="009B12FF" w:rsidTr="00D10196">
        <w:trPr>
          <w:trHeight w:val="290"/>
          <w:jc w:val="center"/>
        </w:trPr>
        <w:tc>
          <w:tcPr>
            <w:tcW w:w="3917" w:type="dxa"/>
            <w:tcBorders>
              <w:top w:val="nil"/>
              <w:left w:val="single" w:sz="4" w:space="0" w:color="auto"/>
              <w:bottom w:val="single" w:sz="4" w:space="0" w:color="auto"/>
              <w:right w:val="single" w:sz="4" w:space="0" w:color="auto"/>
            </w:tcBorders>
            <w:shd w:val="clear" w:color="000000" w:fill="FFFFFF"/>
            <w:noWrap/>
            <w:hideMark/>
          </w:tcPr>
          <w:p w:rsidR="00C265D2" w:rsidRPr="009B12FF" w:rsidRDefault="00C265D2" w:rsidP="004A5BC7">
            <w:pPr>
              <w:rPr>
                <w:rFonts w:ascii="Arial" w:eastAsia="Times New Roman" w:hAnsi="Arial" w:cs="Arial"/>
                <w:sz w:val="22"/>
                <w:szCs w:val="22"/>
              </w:rPr>
            </w:pPr>
            <w:r w:rsidRPr="009B12FF">
              <w:rPr>
                <w:rFonts w:ascii="Arial" w:eastAsia="Times New Roman" w:hAnsi="Arial" w:cs="Arial"/>
                <w:sz w:val="22"/>
                <w:szCs w:val="22"/>
              </w:rPr>
              <w:t>Juntas Adm.</w:t>
            </w:r>
          </w:p>
        </w:tc>
        <w:tc>
          <w:tcPr>
            <w:tcW w:w="3079" w:type="dxa"/>
            <w:tcBorders>
              <w:top w:val="nil"/>
              <w:left w:val="nil"/>
              <w:bottom w:val="single" w:sz="4" w:space="0" w:color="auto"/>
              <w:right w:val="single" w:sz="4" w:space="0" w:color="auto"/>
            </w:tcBorders>
            <w:shd w:val="clear" w:color="000000" w:fill="FFFFFF"/>
            <w:noWrap/>
            <w:hideMark/>
          </w:tcPr>
          <w:p w:rsidR="00C265D2" w:rsidRPr="009B12FF" w:rsidRDefault="00C265D2" w:rsidP="004A5BC7">
            <w:pPr>
              <w:jc w:val="right"/>
              <w:rPr>
                <w:rFonts w:ascii="Arial" w:eastAsia="Times New Roman" w:hAnsi="Arial" w:cs="Arial"/>
                <w:sz w:val="22"/>
                <w:szCs w:val="22"/>
              </w:rPr>
            </w:pPr>
            <w:r w:rsidRPr="009B12FF">
              <w:rPr>
                <w:rFonts w:ascii="Arial" w:eastAsia="Times New Roman" w:hAnsi="Arial" w:cs="Arial"/>
                <w:sz w:val="22"/>
                <w:szCs w:val="22"/>
              </w:rPr>
              <w:t>479,007,099.81</w:t>
            </w:r>
          </w:p>
        </w:tc>
      </w:tr>
      <w:tr w:rsidR="00C265D2" w:rsidRPr="009B12FF" w:rsidTr="00D10196">
        <w:trPr>
          <w:trHeight w:val="290"/>
          <w:jc w:val="center"/>
        </w:trPr>
        <w:tc>
          <w:tcPr>
            <w:tcW w:w="3917" w:type="dxa"/>
            <w:tcBorders>
              <w:top w:val="nil"/>
              <w:left w:val="single" w:sz="4" w:space="0" w:color="auto"/>
              <w:bottom w:val="single" w:sz="4" w:space="0" w:color="auto"/>
              <w:right w:val="single" w:sz="4" w:space="0" w:color="auto"/>
            </w:tcBorders>
            <w:shd w:val="clear" w:color="000000" w:fill="FFFFFF"/>
            <w:noWrap/>
            <w:hideMark/>
          </w:tcPr>
          <w:p w:rsidR="00C265D2" w:rsidRPr="009B12FF" w:rsidRDefault="00C265D2" w:rsidP="004A5BC7">
            <w:pPr>
              <w:rPr>
                <w:rFonts w:ascii="Arial" w:eastAsia="Times New Roman" w:hAnsi="Arial" w:cs="Arial"/>
                <w:sz w:val="22"/>
                <w:szCs w:val="22"/>
              </w:rPr>
            </w:pPr>
            <w:r w:rsidRPr="009B12FF">
              <w:rPr>
                <w:rFonts w:ascii="Arial" w:eastAsia="Times New Roman" w:hAnsi="Arial" w:cs="Arial"/>
                <w:sz w:val="22"/>
                <w:szCs w:val="22"/>
              </w:rPr>
              <w:t>Alcoholismo</w:t>
            </w:r>
          </w:p>
        </w:tc>
        <w:tc>
          <w:tcPr>
            <w:tcW w:w="3079" w:type="dxa"/>
            <w:tcBorders>
              <w:top w:val="nil"/>
              <w:left w:val="nil"/>
              <w:bottom w:val="single" w:sz="4" w:space="0" w:color="auto"/>
              <w:right w:val="single" w:sz="4" w:space="0" w:color="auto"/>
            </w:tcBorders>
            <w:shd w:val="clear" w:color="000000" w:fill="FFFFFF"/>
            <w:noWrap/>
            <w:hideMark/>
          </w:tcPr>
          <w:p w:rsidR="00C265D2" w:rsidRPr="009B12FF" w:rsidRDefault="00C265D2" w:rsidP="004A5BC7">
            <w:pPr>
              <w:jc w:val="right"/>
              <w:rPr>
                <w:rFonts w:ascii="Arial" w:eastAsia="Times New Roman" w:hAnsi="Arial" w:cs="Arial"/>
                <w:sz w:val="22"/>
                <w:szCs w:val="22"/>
              </w:rPr>
            </w:pPr>
            <w:r w:rsidRPr="009B12FF">
              <w:rPr>
                <w:rFonts w:ascii="Arial" w:eastAsia="Times New Roman" w:hAnsi="Arial" w:cs="Arial"/>
                <w:sz w:val="22"/>
                <w:szCs w:val="22"/>
              </w:rPr>
              <w:t>763,209,688.87</w:t>
            </w:r>
          </w:p>
        </w:tc>
      </w:tr>
      <w:tr w:rsidR="00C265D2" w:rsidRPr="009B12FF" w:rsidTr="00D10196">
        <w:trPr>
          <w:trHeight w:val="290"/>
          <w:jc w:val="center"/>
        </w:trPr>
        <w:tc>
          <w:tcPr>
            <w:tcW w:w="3917" w:type="dxa"/>
            <w:tcBorders>
              <w:top w:val="nil"/>
              <w:left w:val="single" w:sz="4" w:space="0" w:color="auto"/>
              <w:bottom w:val="single" w:sz="4" w:space="0" w:color="auto"/>
              <w:right w:val="single" w:sz="4" w:space="0" w:color="auto"/>
            </w:tcBorders>
            <w:shd w:val="clear" w:color="000000" w:fill="FFFFFF"/>
            <w:noWrap/>
            <w:hideMark/>
          </w:tcPr>
          <w:p w:rsidR="00C265D2" w:rsidRPr="009B12FF" w:rsidRDefault="00C265D2" w:rsidP="004A5BC7">
            <w:pPr>
              <w:rPr>
                <w:rFonts w:ascii="Arial" w:eastAsia="Times New Roman" w:hAnsi="Arial" w:cs="Arial"/>
                <w:sz w:val="22"/>
                <w:szCs w:val="22"/>
              </w:rPr>
            </w:pPr>
            <w:r w:rsidRPr="009B12FF">
              <w:rPr>
                <w:rFonts w:ascii="Arial" w:eastAsia="Times New Roman" w:hAnsi="Arial" w:cs="Arial"/>
                <w:sz w:val="22"/>
                <w:szCs w:val="22"/>
              </w:rPr>
              <w:t>Hospital Blanco Cervantes</w:t>
            </w:r>
          </w:p>
        </w:tc>
        <w:tc>
          <w:tcPr>
            <w:tcW w:w="3079" w:type="dxa"/>
            <w:tcBorders>
              <w:top w:val="nil"/>
              <w:left w:val="nil"/>
              <w:bottom w:val="single" w:sz="4" w:space="0" w:color="auto"/>
              <w:right w:val="single" w:sz="4" w:space="0" w:color="auto"/>
            </w:tcBorders>
            <w:shd w:val="clear" w:color="000000" w:fill="FFFFFF"/>
            <w:noWrap/>
            <w:hideMark/>
          </w:tcPr>
          <w:p w:rsidR="00C265D2" w:rsidRPr="009B12FF" w:rsidRDefault="00C265D2" w:rsidP="004A5BC7">
            <w:pPr>
              <w:jc w:val="right"/>
              <w:rPr>
                <w:rFonts w:ascii="Arial" w:eastAsia="Times New Roman" w:hAnsi="Arial" w:cs="Arial"/>
                <w:sz w:val="22"/>
                <w:szCs w:val="22"/>
              </w:rPr>
            </w:pPr>
            <w:r w:rsidRPr="009B12FF">
              <w:rPr>
                <w:rFonts w:ascii="Arial" w:eastAsia="Times New Roman" w:hAnsi="Arial" w:cs="Arial"/>
                <w:sz w:val="22"/>
                <w:szCs w:val="22"/>
              </w:rPr>
              <w:t>77,202,501.17</w:t>
            </w:r>
          </w:p>
        </w:tc>
      </w:tr>
      <w:tr w:rsidR="00C265D2" w:rsidRPr="009B12FF" w:rsidTr="00D10196">
        <w:trPr>
          <w:trHeight w:val="290"/>
          <w:jc w:val="center"/>
        </w:trPr>
        <w:tc>
          <w:tcPr>
            <w:tcW w:w="3917" w:type="dxa"/>
            <w:tcBorders>
              <w:top w:val="nil"/>
              <w:left w:val="single" w:sz="4" w:space="0" w:color="auto"/>
              <w:bottom w:val="single" w:sz="4" w:space="0" w:color="auto"/>
              <w:right w:val="single" w:sz="4" w:space="0" w:color="auto"/>
            </w:tcBorders>
            <w:shd w:val="clear" w:color="000000" w:fill="FFFFFF"/>
            <w:noWrap/>
            <w:hideMark/>
          </w:tcPr>
          <w:p w:rsidR="00C265D2" w:rsidRPr="009B12FF" w:rsidRDefault="00C265D2" w:rsidP="004A5BC7">
            <w:pPr>
              <w:rPr>
                <w:rFonts w:ascii="Arial" w:eastAsia="Times New Roman" w:hAnsi="Arial" w:cs="Arial"/>
                <w:sz w:val="22"/>
                <w:szCs w:val="22"/>
              </w:rPr>
            </w:pPr>
            <w:r w:rsidRPr="009B12FF">
              <w:rPr>
                <w:rFonts w:ascii="Arial" w:eastAsia="Times New Roman" w:hAnsi="Arial" w:cs="Arial"/>
                <w:sz w:val="22"/>
                <w:szCs w:val="22"/>
              </w:rPr>
              <w:t>Prevención  del Cáncer</w:t>
            </w:r>
          </w:p>
        </w:tc>
        <w:tc>
          <w:tcPr>
            <w:tcW w:w="3079" w:type="dxa"/>
            <w:tcBorders>
              <w:top w:val="nil"/>
              <w:left w:val="nil"/>
              <w:bottom w:val="single" w:sz="4" w:space="0" w:color="auto"/>
              <w:right w:val="single" w:sz="4" w:space="0" w:color="auto"/>
            </w:tcBorders>
            <w:shd w:val="clear" w:color="000000" w:fill="FFFFFF"/>
            <w:noWrap/>
            <w:hideMark/>
          </w:tcPr>
          <w:p w:rsidR="00C265D2" w:rsidRPr="009B12FF" w:rsidRDefault="00C265D2" w:rsidP="004A5BC7">
            <w:pPr>
              <w:jc w:val="right"/>
              <w:rPr>
                <w:rFonts w:ascii="Arial" w:eastAsia="Times New Roman" w:hAnsi="Arial" w:cs="Arial"/>
                <w:sz w:val="22"/>
                <w:szCs w:val="22"/>
              </w:rPr>
            </w:pPr>
            <w:r w:rsidRPr="009B12FF">
              <w:rPr>
                <w:rFonts w:ascii="Arial" w:eastAsia="Times New Roman" w:hAnsi="Arial" w:cs="Arial"/>
                <w:sz w:val="22"/>
                <w:szCs w:val="22"/>
              </w:rPr>
              <w:t>568,193,036.97</w:t>
            </w:r>
          </w:p>
        </w:tc>
      </w:tr>
      <w:tr w:rsidR="00C265D2" w:rsidRPr="009B12FF" w:rsidTr="00D10196">
        <w:trPr>
          <w:trHeight w:val="290"/>
          <w:jc w:val="center"/>
        </w:trPr>
        <w:tc>
          <w:tcPr>
            <w:tcW w:w="3917" w:type="dxa"/>
            <w:tcBorders>
              <w:top w:val="nil"/>
              <w:left w:val="single" w:sz="4" w:space="0" w:color="auto"/>
              <w:bottom w:val="single" w:sz="4" w:space="0" w:color="auto"/>
              <w:right w:val="single" w:sz="4" w:space="0" w:color="auto"/>
            </w:tcBorders>
            <w:shd w:val="clear" w:color="000000" w:fill="FFFFFF"/>
            <w:noWrap/>
            <w:hideMark/>
          </w:tcPr>
          <w:p w:rsidR="00C265D2" w:rsidRPr="009B12FF" w:rsidRDefault="00C265D2" w:rsidP="004A5BC7">
            <w:pPr>
              <w:rPr>
                <w:rFonts w:ascii="Arial" w:eastAsia="Times New Roman" w:hAnsi="Arial" w:cs="Arial"/>
                <w:sz w:val="22"/>
                <w:szCs w:val="22"/>
              </w:rPr>
            </w:pPr>
            <w:r w:rsidRPr="009B12FF">
              <w:rPr>
                <w:rFonts w:ascii="Arial" w:eastAsia="Times New Roman" w:hAnsi="Arial" w:cs="Arial"/>
                <w:sz w:val="22"/>
                <w:szCs w:val="22"/>
              </w:rPr>
              <w:t>Cuidados Paliativos</w:t>
            </w:r>
          </w:p>
        </w:tc>
        <w:tc>
          <w:tcPr>
            <w:tcW w:w="3079" w:type="dxa"/>
            <w:tcBorders>
              <w:top w:val="nil"/>
              <w:left w:val="nil"/>
              <w:bottom w:val="single" w:sz="4" w:space="0" w:color="auto"/>
              <w:right w:val="single" w:sz="4" w:space="0" w:color="auto"/>
            </w:tcBorders>
            <w:shd w:val="clear" w:color="000000" w:fill="FFFFFF"/>
            <w:noWrap/>
            <w:hideMark/>
          </w:tcPr>
          <w:p w:rsidR="00C265D2" w:rsidRPr="009B12FF" w:rsidRDefault="00C265D2" w:rsidP="004A5BC7">
            <w:pPr>
              <w:jc w:val="right"/>
              <w:rPr>
                <w:rFonts w:ascii="Arial" w:eastAsia="Times New Roman" w:hAnsi="Arial" w:cs="Arial"/>
                <w:sz w:val="22"/>
                <w:szCs w:val="22"/>
              </w:rPr>
            </w:pPr>
            <w:r w:rsidRPr="009B12FF">
              <w:rPr>
                <w:rFonts w:ascii="Arial" w:eastAsia="Times New Roman" w:hAnsi="Arial" w:cs="Arial"/>
                <w:sz w:val="22"/>
                <w:szCs w:val="22"/>
              </w:rPr>
              <w:t>538,570,641.50</w:t>
            </w:r>
          </w:p>
        </w:tc>
      </w:tr>
      <w:tr w:rsidR="00C265D2" w:rsidRPr="009B12FF" w:rsidTr="00D10196">
        <w:trPr>
          <w:trHeight w:val="290"/>
          <w:jc w:val="center"/>
        </w:trPr>
        <w:tc>
          <w:tcPr>
            <w:tcW w:w="3917" w:type="dxa"/>
            <w:tcBorders>
              <w:top w:val="nil"/>
              <w:left w:val="single" w:sz="4" w:space="0" w:color="auto"/>
              <w:bottom w:val="single" w:sz="4" w:space="0" w:color="auto"/>
              <w:right w:val="single" w:sz="4" w:space="0" w:color="auto"/>
            </w:tcBorders>
            <w:shd w:val="clear" w:color="000000" w:fill="FFFFFF"/>
            <w:noWrap/>
            <w:hideMark/>
          </w:tcPr>
          <w:p w:rsidR="00C265D2" w:rsidRPr="009B12FF" w:rsidRDefault="00C265D2" w:rsidP="004A5BC7">
            <w:pPr>
              <w:rPr>
                <w:rFonts w:ascii="Arial" w:eastAsia="Times New Roman" w:hAnsi="Arial" w:cs="Arial"/>
                <w:sz w:val="22"/>
                <w:szCs w:val="22"/>
              </w:rPr>
            </w:pPr>
            <w:r w:rsidRPr="009B12FF">
              <w:rPr>
                <w:rFonts w:ascii="Arial" w:eastAsia="Times New Roman" w:hAnsi="Arial" w:cs="Arial"/>
                <w:sz w:val="22"/>
                <w:szCs w:val="22"/>
              </w:rPr>
              <w:t>Explotación sexual</w:t>
            </w:r>
          </w:p>
        </w:tc>
        <w:tc>
          <w:tcPr>
            <w:tcW w:w="3079" w:type="dxa"/>
            <w:tcBorders>
              <w:top w:val="nil"/>
              <w:left w:val="nil"/>
              <w:bottom w:val="single" w:sz="4" w:space="0" w:color="auto"/>
              <w:right w:val="single" w:sz="4" w:space="0" w:color="auto"/>
            </w:tcBorders>
            <w:shd w:val="clear" w:color="000000" w:fill="FFFFFF"/>
            <w:noWrap/>
            <w:hideMark/>
          </w:tcPr>
          <w:p w:rsidR="00C265D2" w:rsidRPr="009B12FF" w:rsidRDefault="00C265D2" w:rsidP="004A5BC7">
            <w:pPr>
              <w:jc w:val="right"/>
              <w:rPr>
                <w:rFonts w:ascii="Arial" w:eastAsia="Times New Roman" w:hAnsi="Arial" w:cs="Arial"/>
                <w:sz w:val="22"/>
                <w:szCs w:val="22"/>
              </w:rPr>
            </w:pPr>
            <w:r w:rsidRPr="009B12FF">
              <w:rPr>
                <w:rFonts w:ascii="Arial" w:eastAsia="Times New Roman" w:hAnsi="Arial" w:cs="Arial"/>
                <w:sz w:val="22"/>
                <w:szCs w:val="22"/>
              </w:rPr>
              <w:t>77,825,102.04</w:t>
            </w:r>
          </w:p>
        </w:tc>
      </w:tr>
      <w:tr w:rsidR="00C265D2" w:rsidRPr="009B12FF" w:rsidTr="000253B3">
        <w:trPr>
          <w:trHeight w:val="299"/>
          <w:jc w:val="center"/>
        </w:trPr>
        <w:tc>
          <w:tcPr>
            <w:tcW w:w="3917" w:type="dxa"/>
            <w:tcBorders>
              <w:top w:val="nil"/>
              <w:left w:val="single" w:sz="4" w:space="0" w:color="auto"/>
              <w:bottom w:val="single" w:sz="4" w:space="0" w:color="auto"/>
              <w:right w:val="single" w:sz="4" w:space="0" w:color="auto"/>
            </w:tcBorders>
            <w:shd w:val="clear" w:color="000000" w:fill="FFFFFF"/>
            <w:noWrap/>
            <w:hideMark/>
          </w:tcPr>
          <w:p w:rsidR="00C265D2" w:rsidRPr="009B12FF" w:rsidRDefault="00C265D2" w:rsidP="004A5BC7">
            <w:pPr>
              <w:rPr>
                <w:rFonts w:ascii="Arial" w:eastAsia="Times New Roman" w:hAnsi="Arial" w:cs="Arial"/>
                <w:b/>
                <w:bCs/>
                <w:sz w:val="22"/>
                <w:szCs w:val="22"/>
              </w:rPr>
            </w:pPr>
            <w:r w:rsidRPr="009B12FF">
              <w:rPr>
                <w:rFonts w:ascii="Arial" w:eastAsia="Times New Roman" w:hAnsi="Arial" w:cs="Arial"/>
                <w:b/>
                <w:bCs/>
                <w:sz w:val="22"/>
                <w:szCs w:val="22"/>
              </w:rPr>
              <w:t>TOTAL TRANSFERIDO</w:t>
            </w:r>
          </w:p>
        </w:tc>
        <w:tc>
          <w:tcPr>
            <w:tcW w:w="3079" w:type="dxa"/>
            <w:tcBorders>
              <w:top w:val="nil"/>
              <w:left w:val="nil"/>
              <w:bottom w:val="single" w:sz="4" w:space="0" w:color="auto"/>
              <w:right w:val="single" w:sz="4" w:space="0" w:color="auto"/>
            </w:tcBorders>
            <w:shd w:val="clear" w:color="000000" w:fill="FFFFFF"/>
            <w:noWrap/>
            <w:hideMark/>
          </w:tcPr>
          <w:p w:rsidR="00C265D2" w:rsidRPr="009B12FF" w:rsidRDefault="00C265D2" w:rsidP="004A5BC7">
            <w:pPr>
              <w:jc w:val="right"/>
              <w:rPr>
                <w:rFonts w:ascii="Arial" w:eastAsia="Times New Roman" w:hAnsi="Arial" w:cs="Arial"/>
                <w:b/>
                <w:bCs/>
                <w:sz w:val="22"/>
                <w:szCs w:val="22"/>
              </w:rPr>
            </w:pPr>
            <w:r w:rsidRPr="009B12FF">
              <w:rPr>
                <w:rFonts w:ascii="Arial" w:eastAsia="Times New Roman" w:hAnsi="Arial" w:cs="Arial"/>
                <w:b/>
                <w:bCs/>
                <w:sz w:val="22"/>
                <w:szCs w:val="22"/>
              </w:rPr>
              <w:t>11,637,592,275.49</w:t>
            </w:r>
          </w:p>
        </w:tc>
      </w:tr>
    </w:tbl>
    <w:p w:rsidR="00C265D2" w:rsidRPr="009B12FF" w:rsidRDefault="00D10196" w:rsidP="00F616B1">
      <w:pPr>
        <w:ind w:left="851"/>
        <w:rPr>
          <w:rFonts w:ascii="Arial" w:hAnsi="Arial" w:cs="Arial"/>
          <w:sz w:val="16"/>
          <w:szCs w:val="16"/>
        </w:rPr>
      </w:pPr>
      <w:r w:rsidRPr="009B12FF">
        <w:rPr>
          <w:rFonts w:ascii="Arial" w:hAnsi="Arial" w:cs="Arial"/>
          <w:b/>
          <w:sz w:val="14"/>
          <w:szCs w:val="14"/>
        </w:rPr>
        <w:t>FI: GDS-017 del 09 de enero de 2014</w:t>
      </w:r>
      <w:r w:rsidR="00C265D2" w:rsidRPr="009B12FF">
        <w:rPr>
          <w:rFonts w:ascii="Arial" w:hAnsi="Arial" w:cs="Arial"/>
          <w:b/>
          <w:sz w:val="16"/>
          <w:szCs w:val="16"/>
        </w:rPr>
        <w:t>, Control de transferencias para apoyo a la gestión</w:t>
      </w:r>
    </w:p>
    <w:p w:rsidR="00C265D2" w:rsidRPr="009B12FF" w:rsidRDefault="00C265D2" w:rsidP="00C265D2">
      <w:pPr>
        <w:ind w:left="567"/>
        <w:rPr>
          <w:rFonts w:ascii="Arial" w:hAnsi="Arial" w:cs="Arial"/>
          <w:sz w:val="16"/>
          <w:szCs w:val="16"/>
        </w:rPr>
      </w:pPr>
    </w:p>
    <w:p w:rsidR="00C265D2" w:rsidRPr="009B12FF" w:rsidRDefault="00C265D2" w:rsidP="00C265D2">
      <w:pPr>
        <w:jc w:val="center"/>
        <w:rPr>
          <w:rFonts w:ascii="Tahoma" w:hAnsi="Tahoma" w:cs="Tahoma"/>
        </w:rPr>
      </w:pPr>
      <w:r w:rsidRPr="009B12FF">
        <w:rPr>
          <w:noProof/>
          <w:lang w:val="es-CR" w:eastAsia="es-CR"/>
        </w:rPr>
        <w:drawing>
          <wp:inline distT="0" distB="0" distL="0" distR="0" wp14:anchorId="7227464E" wp14:editId="67C10FDA">
            <wp:extent cx="5391209" cy="3625702"/>
            <wp:effectExtent l="0" t="0" r="19050" b="13335"/>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46C2A" w:rsidRPr="009B12FF" w:rsidRDefault="00F616B1" w:rsidP="00A03B1D">
      <w:pPr>
        <w:spacing w:line="276" w:lineRule="auto"/>
        <w:rPr>
          <w:rFonts w:ascii="Arial" w:hAnsi="Arial" w:cs="Arial"/>
          <w:b/>
          <w:sz w:val="22"/>
          <w:szCs w:val="22"/>
        </w:rPr>
      </w:pPr>
      <w:r w:rsidRPr="009B12FF">
        <w:rPr>
          <w:rFonts w:ascii="Arial" w:hAnsi="Arial" w:cs="Arial"/>
          <w:b/>
          <w:sz w:val="14"/>
          <w:szCs w:val="14"/>
        </w:rPr>
        <w:t>FI: GDS-017 del 09 de enero de 2014</w:t>
      </w:r>
    </w:p>
    <w:p w:rsidR="00246C2A" w:rsidRPr="009B12FF" w:rsidRDefault="00246C2A" w:rsidP="00491716">
      <w:pPr>
        <w:jc w:val="both"/>
        <w:rPr>
          <w:rFonts w:ascii="Arial" w:hAnsi="Arial" w:cs="Arial"/>
          <w:sz w:val="22"/>
          <w:szCs w:val="22"/>
        </w:rPr>
      </w:pPr>
    </w:p>
    <w:p w:rsidR="00246C2A" w:rsidRPr="009B12FF" w:rsidRDefault="00246C2A" w:rsidP="002A4873">
      <w:pPr>
        <w:jc w:val="both"/>
        <w:rPr>
          <w:rFonts w:ascii="Arial" w:hAnsi="Arial" w:cs="Arial"/>
          <w:sz w:val="22"/>
          <w:szCs w:val="22"/>
        </w:rPr>
      </w:pPr>
      <w:r w:rsidRPr="009B12FF">
        <w:rPr>
          <w:rFonts w:ascii="Arial" w:hAnsi="Arial" w:cs="Arial"/>
          <w:b/>
          <w:sz w:val="22"/>
          <w:szCs w:val="22"/>
        </w:rPr>
        <w:t>Indicador 3</w:t>
      </w:r>
    </w:p>
    <w:p w:rsidR="00246C2A" w:rsidRPr="009B12FF" w:rsidRDefault="00246C2A" w:rsidP="002A4873">
      <w:pPr>
        <w:ind w:left="360"/>
        <w:jc w:val="both"/>
        <w:rPr>
          <w:rFonts w:ascii="Arial" w:hAnsi="Arial" w:cs="Arial"/>
          <w:b/>
          <w:sz w:val="22"/>
          <w:szCs w:val="22"/>
        </w:rPr>
      </w:pPr>
      <w:r w:rsidRPr="009B12FF">
        <w:rPr>
          <w:rFonts w:ascii="Arial" w:hAnsi="Arial" w:cs="Arial"/>
          <w:b/>
          <w:sz w:val="22"/>
          <w:szCs w:val="22"/>
        </w:rPr>
        <w:t xml:space="preserve">Porcentaje de recursos transferidos para giros directos según Ley Nº 8718 respecto a las utilidades disponibles de los meses de enero a diciembre </w:t>
      </w:r>
      <w:r w:rsidR="00A3596D" w:rsidRPr="009B12FF">
        <w:rPr>
          <w:rFonts w:ascii="Arial" w:hAnsi="Arial" w:cs="Arial"/>
          <w:b/>
          <w:sz w:val="22"/>
          <w:szCs w:val="22"/>
        </w:rPr>
        <w:t>2013</w:t>
      </w:r>
      <w:r w:rsidRPr="009B12FF">
        <w:rPr>
          <w:rFonts w:ascii="Arial" w:hAnsi="Arial" w:cs="Arial"/>
          <w:b/>
          <w:sz w:val="22"/>
          <w:szCs w:val="22"/>
        </w:rPr>
        <w:t xml:space="preserve"> (producto – eficacia).</w:t>
      </w:r>
    </w:p>
    <w:tbl>
      <w:tblPr>
        <w:tblStyle w:val="Tablaconcuadrcula"/>
        <w:tblW w:w="8613" w:type="dxa"/>
        <w:tblLayout w:type="fixed"/>
        <w:tblLook w:val="04A0" w:firstRow="1" w:lastRow="0" w:firstColumn="1" w:lastColumn="0" w:noHBand="0" w:noVBand="1"/>
      </w:tblPr>
      <w:tblGrid>
        <w:gridCol w:w="3652"/>
        <w:gridCol w:w="992"/>
        <w:gridCol w:w="1985"/>
        <w:gridCol w:w="1984"/>
      </w:tblGrid>
      <w:tr w:rsidR="00EA447A" w:rsidRPr="009B12FF" w:rsidTr="00881DDC">
        <w:tc>
          <w:tcPr>
            <w:tcW w:w="3652" w:type="dxa"/>
            <w:vAlign w:val="center"/>
          </w:tcPr>
          <w:p w:rsidR="00EA447A" w:rsidRPr="009B12FF" w:rsidRDefault="00824B5B" w:rsidP="002A4873">
            <w:pPr>
              <w:jc w:val="center"/>
              <w:rPr>
                <w:rFonts w:ascii="Arial" w:hAnsi="Arial" w:cs="Arial"/>
                <w:b/>
                <w:sz w:val="22"/>
                <w:szCs w:val="22"/>
              </w:rPr>
            </w:pPr>
            <w:r w:rsidRPr="009B12FF">
              <w:rPr>
                <w:rFonts w:ascii="Arial" w:hAnsi="Arial" w:cs="Arial"/>
                <w:b/>
                <w:sz w:val="22"/>
                <w:szCs w:val="22"/>
              </w:rPr>
              <w:t>Fórmula del Indicador</w:t>
            </w:r>
          </w:p>
        </w:tc>
        <w:tc>
          <w:tcPr>
            <w:tcW w:w="992" w:type="dxa"/>
            <w:vAlign w:val="center"/>
          </w:tcPr>
          <w:p w:rsidR="00EA447A" w:rsidRPr="009B12FF" w:rsidRDefault="00EA447A" w:rsidP="002A4873">
            <w:pPr>
              <w:jc w:val="center"/>
              <w:rPr>
                <w:rFonts w:ascii="Arial" w:hAnsi="Arial" w:cs="Arial"/>
                <w:b/>
                <w:sz w:val="22"/>
                <w:szCs w:val="22"/>
              </w:rPr>
            </w:pPr>
            <w:r w:rsidRPr="009B12FF">
              <w:rPr>
                <w:rFonts w:ascii="Arial" w:hAnsi="Arial" w:cs="Arial"/>
                <w:b/>
                <w:sz w:val="22"/>
                <w:szCs w:val="22"/>
              </w:rPr>
              <w:t>Meta</w:t>
            </w:r>
          </w:p>
        </w:tc>
        <w:tc>
          <w:tcPr>
            <w:tcW w:w="1985" w:type="dxa"/>
            <w:vAlign w:val="center"/>
          </w:tcPr>
          <w:p w:rsidR="00EA447A" w:rsidRPr="009B12FF" w:rsidRDefault="00EA447A" w:rsidP="002A4873">
            <w:pPr>
              <w:jc w:val="center"/>
              <w:rPr>
                <w:rFonts w:ascii="Arial" w:hAnsi="Arial" w:cs="Arial"/>
                <w:b/>
                <w:sz w:val="22"/>
                <w:szCs w:val="22"/>
              </w:rPr>
            </w:pPr>
            <w:r w:rsidRPr="009B12FF">
              <w:rPr>
                <w:rFonts w:ascii="Arial" w:hAnsi="Arial" w:cs="Arial"/>
                <w:b/>
                <w:sz w:val="22"/>
                <w:szCs w:val="22"/>
              </w:rPr>
              <w:t>Real alcanzado</w:t>
            </w:r>
          </w:p>
        </w:tc>
        <w:tc>
          <w:tcPr>
            <w:tcW w:w="1984" w:type="dxa"/>
          </w:tcPr>
          <w:p w:rsidR="00EA447A" w:rsidRPr="009B12FF" w:rsidRDefault="00EA447A" w:rsidP="002A4873">
            <w:pPr>
              <w:jc w:val="center"/>
              <w:rPr>
                <w:rFonts w:ascii="Arial" w:hAnsi="Arial" w:cs="Arial"/>
                <w:b/>
                <w:sz w:val="22"/>
                <w:szCs w:val="22"/>
              </w:rPr>
            </w:pPr>
            <w:r w:rsidRPr="009B12FF">
              <w:rPr>
                <w:rFonts w:ascii="Arial" w:hAnsi="Arial" w:cs="Arial"/>
                <w:b/>
                <w:sz w:val="22"/>
                <w:szCs w:val="22"/>
              </w:rPr>
              <w:t>% Cumplimiento</w:t>
            </w:r>
          </w:p>
        </w:tc>
      </w:tr>
      <w:tr w:rsidR="0080108F" w:rsidRPr="009B12FF" w:rsidTr="00881DDC">
        <w:tc>
          <w:tcPr>
            <w:tcW w:w="3652" w:type="dxa"/>
            <w:vAlign w:val="center"/>
          </w:tcPr>
          <w:p w:rsidR="0080108F" w:rsidRPr="009B12FF" w:rsidRDefault="0080108F" w:rsidP="002A4873">
            <w:pPr>
              <w:rPr>
                <w:rFonts w:ascii="Arial" w:hAnsi="Arial" w:cs="Arial"/>
                <w:sz w:val="22"/>
                <w:szCs w:val="22"/>
                <w:lang w:val="es-ES"/>
              </w:rPr>
            </w:pPr>
            <w:r w:rsidRPr="009B12FF">
              <w:rPr>
                <w:rFonts w:ascii="Arial" w:hAnsi="Arial" w:cs="Arial"/>
                <w:sz w:val="22"/>
                <w:szCs w:val="22"/>
                <w:lang w:val="es-ES"/>
              </w:rPr>
              <w:t>(Recursos transferidos para giros directos x/Utilidades disponi</w:t>
            </w:r>
            <w:r w:rsidR="007071FF" w:rsidRPr="009B12FF">
              <w:rPr>
                <w:rFonts w:ascii="Arial" w:hAnsi="Arial" w:cs="Arial"/>
                <w:sz w:val="22"/>
                <w:szCs w:val="22"/>
                <w:lang w:val="es-ES"/>
              </w:rPr>
              <w:t>bles para  giros directos añox)*</w:t>
            </w:r>
            <w:r w:rsidRPr="009B12FF">
              <w:rPr>
                <w:rFonts w:ascii="Arial" w:hAnsi="Arial" w:cs="Arial"/>
                <w:sz w:val="22"/>
                <w:szCs w:val="22"/>
                <w:lang w:val="es-ES"/>
              </w:rPr>
              <w:t>100</w:t>
            </w:r>
          </w:p>
        </w:tc>
        <w:tc>
          <w:tcPr>
            <w:tcW w:w="992" w:type="dxa"/>
            <w:vAlign w:val="center"/>
          </w:tcPr>
          <w:p w:rsidR="0080108F" w:rsidRPr="009B12FF" w:rsidRDefault="0080108F" w:rsidP="002A4873">
            <w:pPr>
              <w:jc w:val="center"/>
              <w:rPr>
                <w:rFonts w:ascii="Arial" w:hAnsi="Arial" w:cs="Arial"/>
                <w:sz w:val="22"/>
                <w:szCs w:val="22"/>
              </w:rPr>
            </w:pPr>
            <w:r w:rsidRPr="009B12FF">
              <w:rPr>
                <w:rFonts w:ascii="Arial" w:hAnsi="Arial" w:cs="Arial"/>
                <w:sz w:val="22"/>
                <w:szCs w:val="22"/>
              </w:rPr>
              <w:t>90%</w:t>
            </w:r>
          </w:p>
        </w:tc>
        <w:tc>
          <w:tcPr>
            <w:tcW w:w="1985" w:type="dxa"/>
            <w:vAlign w:val="center"/>
          </w:tcPr>
          <w:p w:rsidR="0080108F" w:rsidRPr="009B12FF" w:rsidRDefault="002F7796" w:rsidP="002A4873">
            <w:pPr>
              <w:jc w:val="center"/>
              <w:rPr>
                <w:rFonts w:ascii="Arial" w:hAnsi="Arial" w:cs="Arial"/>
                <w:sz w:val="22"/>
                <w:szCs w:val="22"/>
              </w:rPr>
            </w:pPr>
            <w:r w:rsidRPr="009B12FF">
              <w:rPr>
                <w:rFonts w:ascii="Arial" w:hAnsi="Arial" w:cs="Arial"/>
                <w:sz w:val="22"/>
                <w:szCs w:val="22"/>
              </w:rPr>
              <w:t>98.42</w:t>
            </w:r>
            <w:r w:rsidR="0063500B" w:rsidRPr="009B12FF">
              <w:rPr>
                <w:rFonts w:ascii="Arial" w:hAnsi="Arial" w:cs="Arial"/>
                <w:sz w:val="22"/>
                <w:szCs w:val="22"/>
              </w:rPr>
              <w:t>%</w:t>
            </w:r>
          </w:p>
        </w:tc>
        <w:tc>
          <w:tcPr>
            <w:tcW w:w="1984" w:type="dxa"/>
            <w:vAlign w:val="center"/>
          </w:tcPr>
          <w:p w:rsidR="0080108F" w:rsidRPr="009B12FF" w:rsidRDefault="0063500B" w:rsidP="002A4873">
            <w:pPr>
              <w:jc w:val="center"/>
              <w:rPr>
                <w:rFonts w:ascii="Arial" w:hAnsi="Arial" w:cs="Arial"/>
                <w:sz w:val="22"/>
                <w:szCs w:val="22"/>
              </w:rPr>
            </w:pPr>
            <w:r w:rsidRPr="009B12FF">
              <w:rPr>
                <w:rFonts w:ascii="Arial" w:hAnsi="Arial" w:cs="Arial"/>
                <w:sz w:val="22"/>
                <w:szCs w:val="22"/>
              </w:rPr>
              <w:t>109.36%</w:t>
            </w:r>
          </w:p>
        </w:tc>
      </w:tr>
    </w:tbl>
    <w:p w:rsidR="009C4822" w:rsidRPr="009B12FF" w:rsidRDefault="009C4822" w:rsidP="002A4873">
      <w:pPr>
        <w:jc w:val="both"/>
        <w:rPr>
          <w:rFonts w:ascii="Arial" w:hAnsi="Arial" w:cs="Arial"/>
          <w:sz w:val="22"/>
          <w:szCs w:val="22"/>
        </w:rPr>
      </w:pPr>
    </w:p>
    <w:p w:rsidR="00246C2A" w:rsidRPr="009B12FF" w:rsidRDefault="00246C2A" w:rsidP="002A4873">
      <w:pPr>
        <w:jc w:val="both"/>
        <w:rPr>
          <w:rFonts w:ascii="Arial" w:hAnsi="Arial" w:cs="Arial"/>
          <w:sz w:val="22"/>
          <w:szCs w:val="22"/>
        </w:rPr>
      </w:pPr>
      <w:r w:rsidRPr="009B12FF">
        <w:rPr>
          <w:rFonts w:ascii="Arial" w:hAnsi="Arial" w:cs="Arial"/>
          <w:sz w:val="22"/>
          <w:szCs w:val="22"/>
        </w:rPr>
        <w:t xml:space="preserve">El desempeño proyectado para este indicador es </w:t>
      </w:r>
      <w:r w:rsidR="008111FC" w:rsidRPr="009B12FF">
        <w:rPr>
          <w:rFonts w:ascii="Arial" w:hAnsi="Arial" w:cs="Arial"/>
          <w:sz w:val="22"/>
          <w:szCs w:val="22"/>
        </w:rPr>
        <w:t>del</w:t>
      </w:r>
      <w:r w:rsidRPr="009B12FF">
        <w:rPr>
          <w:rFonts w:ascii="Arial" w:hAnsi="Arial" w:cs="Arial"/>
          <w:sz w:val="22"/>
          <w:szCs w:val="22"/>
        </w:rPr>
        <w:t xml:space="preserve"> 90% de las </w:t>
      </w:r>
      <w:r w:rsidR="00731342" w:rsidRPr="009B12FF">
        <w:rPr>
          <w:rFonts w:ascii="Arial" w:hAnsi="Arial" w:cs="Arial"/>
          <w:sz w:val="22"/>
          <w:szCs w:val="22"/>
        </w:rPr>
        <w:t>utilidades disponibles para 2013</w:t>
      </w:r>
      <w:r w:rsidRPr="009B12FF">
        <w:rPr>
          <w:rFonts w:ascii="Arial" w:hAnsi="Arial" w:cs="Arial"/>
          <w:sz w:val="22"/>
          <w:szCs w:val="22"/>
        </w:rPr>
        <w:t xml:space="preserve">, las utilidades proyectadas para giros directos asciende a </w:t>
      </w:r>
      <w:r w:rsidR="00731342" w:rsidRPr="009B12FF">
        <w:rPr>
          <w:rFonts w:ascii="Arial" w:hAnsi="Arial" w:cs="Arial"/>
          <w:sz w:val="22"/>
          <w:szCs w:val="22"/>
        </w:rPr>
        <w:t xml:space="preserve">¢6.959.458.386 </w:t>
      </w:r>
      <w:r w:rsidRPr="009B12FF">
        <w:rPr>
          <w:rFonts w:ascii="Arial" w:hAnsi="Arial" w:cs="Arial"/>
          <w:sz w:val="22"/>
          <w:szCs w:val="22"/>
        </w:rPr>
        <w:t>del “Sistema de Liquidación – Proyección”, cuyo monto debe de considerarse como la variable final para su respectiva medición.</w:t>
      </w:r>
    </w:p>
    <w:p w:rsidR="003C5FF7" w:rsidRPr="009B12FF" w:rsidRDefault="003C5FF7" w:rsidP="002A4873">
      <w:pPr>
        <w:jc w:val="both"/>
        <w:rPr>
          <w:rFonts w:ascii="Arial" w:hAnsi="Arial" w:cs="Arial"/>
          <w:sz w:val="22"/>
          <w:szCs w:val="22"/>
        </w:rPr>
      </w:pPr>
    </w:p>
    <w:p w:rsidR="00246C2A" w:rsidRPr="009B12FF" w:rsidRDefault="00246C2A" w:rsidP="002A4873">
      <w:pPr>
        <w:jc w:val="both"/>
        <w:rPr>
          <w:rFonts w:ascii="Arial" w:hAnsi="Arial" w:cs="Arial"/>
          <w:sz w:val="22"/>
          <w:szCs w:val="22"/>
        </w:rPr>
      </w:pPr>
      <w:r w:rsidRPr="009B12FF">
        <w:rPr>
          <w:rFonts w:ascii="Arial" w:hAnsi="Arial" w:cs="Arial"/>
          <w:sz w:val="22"/>
          <w:szCs w:val="22"/>
        </w:rPr>
        <w:t>El porcentaje de cumpl</w:t>
      </w:r>
      <w:r w:rsidR="00724E2F" w:rsidRPr="009B12FF">
        <w:rPr>
          <w:rFonts w:ascii="Arial" w:hAnsi="Arial" w:cs="Arial"/>
          <w:sz w:val="22"/>
          <w:szCs w:val="22"/>
        </w:rPr>
        <w:t>imiento de la meta anual alcanzó</w:t>
      </w:r>
      <w:r w:rsidRPr="009B12FF">
        <w:rPr>
          <w:rFonts w:ascii="Arial" w:hAnsi="Arial" w:cs="Arial"/>
          <w:sz w:val="22"/>
          <w:szCs w:val="22"/>
        </w:rPr>
        <w:t xml:space="preserve"> </w:t>
      </w:r>
      <w:r w:rsidR="00724E2F" w:rsidRPr="009B12FF">
        <w:rPr>
          <w:rFonts w:ascii="Arial" w:hAnsi="Arial" w:cs="Arial"/>
          <w:sz w:val="22"/>
          <w:szCs w:val="22"/>
        </w:rPr>
        <w:t xml:space="preserve">el </w:t>
      </w:r>
      <w:r w:rsidR="00AF0C98" w:rsidRPr="009B12FF">
        <w:rPr>
          <w:rFonts w:ascii="Arial" w:hAnsi="Arial" w:cs="Arial"/>
          <w:sz w:val="22"/>
          <w:szCs w:val="22"/>
        </w:rPr>
        <w:t xml:space="preserve">109.36%, </w:t>
      </w:r>
      <w:r w:rsidRPr="009B12FF">
        <w:rPr>
          <w:rFonts w:ascii="Arial" w:hAnsi="Arial" w:cs="Arial"/>
          <w:sz w:val="22"/>
          <w:szCs w:val="22"/>
        </w:rPr>
        <w:t xml:space="preserve">el monto total transferido para el programa de giros directos al </w:t>
      </w:r>
      <w:r w:rsidR="00AF0C98" w:rsidRPr="009B12FF">
        <w:rPr>
          <w:rFonts w:ascii="Arial" w:hAnsi="Arial" w:cs="Arial"/>
          <w:sz w:val="22"/>
          <w:szCs w:val="22"/>
        </w:rPr>
        <w:t xml:space="preserve">finalizar el año </w:t>
      </w:r>
      <w:r w:rsidRPr="009B12FF">
        <w:rPr>
          <w:rFonts w:ascii="Arial" w:hAnsi="Arial" w:cs="Arial"/>
          <w:sz w:val="22"/>
          <w:szCs w:val="22"/>
        </w:rPr>
        <w:t xml:space="preserve">asciende a </w:t>
      </w:r>
      <w:r w:rsidR="00AF0C98" w:rsidRPr="009B12FF">
        <w:rPr>
          <w:rFonts w:ascii="Arial" w:hAnsi="Arial" w:cs="Arial"/>
          <w:sz w:val="22"/>
          <w:szCs w:val="22"/>
        </w:rPr>
        <w:t xml:space="preserve">¢6.849.213.102 </w:t>
      </w:r>
      <w:r w:rsidRPr="009B12FF">
        <w:rPr>
          <w:rFonts w:ascii="Arial" w:hAnsi="Arial" w:cs="Arial"/>
          <w:sz w:val="22"/>
          <w:szCs w:val="22"/>
        </w:rPr>
        <w:t xml:space="preserve">de los recursos distribuidos efectivamente.  </w:t>
      </w:r>
    </w:p>
    <w:p w:rsidR="005D0519" w:rsidRPr="009B12FF" w:rsidRDefault="005D0519" w:rsidP="002A4873">
      <w:pPr>
        <w:jc w:val="both"/>
        <w:rPr>
          <w:rFonts w:ascii="Arial" w:hAnsi="Arial" w:cs="Arial"/>
          <w:sz w:val="22"/>
          <w:szCs w:val="22"/>
        </w:rPr>
      </w:pPr>
    </w:p>
    <w:p w:rsidR="00246C2A" w:rsidRPr="009B12FF" w:rsidRDefault="00246C2A" w:rsidP="002A4873">
      <w:pPr>
        <w:jc w:val="both"/>
        <w:rPr>
          <w:rFonts w:ascii="Arial" w:hAnsi="Arial" w:cs="Arial"/>
          <w:sz w:val="22"/>
          <w:szCs w:val="22"/>
        </w:rPr>
      </w:pPr>
      <w:r w:rsidRPr="009B12FF">
        <w:rPr>
          <w:rFonts w:ascii="Arial" w:hAnsi="Arial" w:cs="Arial"/>
          <w:sz w:val="22"/>
          <w:szCs w:val="22"/>
        </w:rPr>
        <w:t>El cumplimiento de este indicador depende de factores externos, como el que las organizaciones beneficiarias cumplan con la presentación de los requisitos legales (cuotas obrero patronales, cédulas y personerías jurídicas, entre otros).</w:t>
      </w:r>
    </w:p>
    <w:p w:rsidR="00F6784A" w:rsidRPr="009B12FF" w:rsidRDefault="00F6784A" w:rsidP="002A4873">
      <w:pPr>
        <w:jc w:val="both"/>
        <w:rPr>
          <w:rFonts w:ascii="Arial" w:hAnsi="Arial" w:cs="Arial"/>
          <w:sz w:val="22"/>
          <w:szCs w:val="22"/>
        </w:rPr>
      </w:pPr>
    </w:p>
    <w:p w:rsidR="00246C2A" w:rsidRPr="009B12FF" w:rsidRDefault="00246C2A" w:rsidP="002A4873">
      <w:pPr>
        <w:jc w:val="both"/>
        <w:rPr>
          <w:rFonts w:ascii="Arial" w:hAnsi="Arial" w:cs="Arial"/>
          <w:sz w:val="22"/>
          <w:szCs w:val="22"/>
        </w:rPr>
      </w:pPr>
      <w:r w:rsidRPr="009B12FF">
        <w:rPr>
          <w:rFonts w:ascii="Arial" w:hAnsi="Arial" w:cs="Arial"/>
          <w:sz w:val="22"/>
          <w:szCs w:val="22"/>
        </w:rPr>
        <w:t>No obstante, conforme las organizaciones cumplieron con los requisitos, se realizaron los giros de los recursos pendientes.</w:t>
      </w:r>
    </w:p>
    <w:p w:rsidR="009C4822" w:rsidRPr="009B12FF" w:rsidRDefault="009C4822" w:rsidP="002A4873">
      <w:pPr>
        <w:jc w:val="both"/>
        <w:rPr>
          <w:rFonts w:ascii="Arial" w:hAnsi="Arial" w:cs="Arial"/>
          <w:sz w:val="22"/>
          <w:szCs w:val="22"/>
        </w:rPr>
      </w:pPr>
    </w:p>
    <w:p w:rsidR="00C22651" w:rsidRPr="009B12FF" w:rsidRDefault="00C22651" w:rsidP="002A4873">
      <w:pPr>
        <w:jc w:val="both"/>
        <w:rPr>
          <w:rFonts w:ascii="Arial" w:hAnsi="Arial" w:cs="Arial"/>
          <w:sz w:val="22"/>
          <w:szCs w:val="22"/>
        </w:rPr>
      </w:pPr>
    </w:p>
    <w:p w:rsidR="009C4822" w:rsidRPr="009B12FF" w:rsidRDefault="009C4822" w:rsidP="002A4873">
      <w:pPr>
        <w:jc w:val="both"/>
        <w:rPr>
          <w:rFonts w:ascii="Arial" w:hAnsi="Arial" w:cs="Arial"/>
          <w:b/>
          <w:sz w:val="22"/>
          <w:szCs w:val="22"/>
        </w:rPr>
      </w:pPr>
    </w:p>
    <w:p w:rsidR="00246C2A" w:rsidRPr="009B12FF" w:rsidRDefault="00246C2A" w:rsidP="002A4873">
      <w:pPr>
        <w:jc w:val="both"/>
        <w:rPr>
          <w:rFonts w:ascii="Arial" w:hAnsi="Arial" w:cs="Arial"/>
          <w:b/>
          <w:sz w:val="22"/>
          <w:szCs w:val="22"/>
        </w:rPr>
      </w:pPr>
      <w:r w:rsidRPr="009B12FF">
        <w:rPr>
          <w:rFonts w:ascii="Arial" w:hAnsi="Arial" w:cs="Arial"/>
          <w:b/>
          <w:sz w:val="22"/>
          <w:szCs w:val="22"/>
        </w:rPr>
        <w:t>Aspectos positivos internos</w:t>
      </w:r>
    </w:p>
    <w:p w:rsidR="00FA2EAA" w:rsidRPr="009B12FF" w:rsidRDefault="00FA2EAA" w:rsidP="002A4873">
      <w:pPr>
        <w:jc w:val="both"/>
        <w:rPr>
          <w:rFonts w:ascii="Arial" w:hAnsi="Arial" w:cs="Arial"/>
          <w:b/>
          <w:sz w:val="22"/>
          <w:szCs w:val="22"/>
        </w:rPr>
      </w:pPr>
    </w:p>
    <w:p w:rsidR="00246C2A" w:rsidRPr="009B12FF" w:rsidRDefault="00246C2A" w:rsidP="002A4873">
      <w:pPr>
        <w:jc w:val="both"/>
        <w:rPr>
          <w:rFonts w:ascii="Arial" w:hAnsi="Arial" w:cs="Arial"/>
          <w:sz w:val="22"/>
          <w:szCs w:val="22"/>
        </w:rPr>
      </w:pPr>
      <w:r w:rsidRPr="009B12FF">
        <w:rPr>
          <w:rFonts w:ascii="Arial" w:hAnsi="Arial" w:cs="Arial"/>
          <w:sz w:val="22"/>
          <w:szCs w:val="22"/>
        </w:rPr>
        <w:t>El monto distribuido refleja que el Departamento de Acción Social es eficiente  en cuanto al giro de los recursos y logra que las entidades beneficiarias puedan acceder a estos dineros con la oportunidad requerida.</w:t>
      </w:r>
    </w:p>
    <w:p w:rsidR="00491716" w:rsidRPr="009B12FF" w:rsidRDefault="00491716" w:rsidP="002A4873">
      <w:pPr>
        <w:jc w:val="both"/>
        <w:rPr>
          <w:rFonts w:ascii="Arial" w:hAnsi="Arial" w:cs="Arial"/>
          <w:sz w:val="22"/>
          <w:szCs w:val="22"/>
        </w:rPr>
      </w:pPr>
    </w:p>
    <w:p w:rsidR="00246C2A" w:rsidRPr="009B12FF" w:rsidRDefault="00246C2A" w:rsidP="002A4873">
      <w:pPr>
        <w:jc w:val="both"/>
        <w:rPr>
          <w:rFonts w:ascii="Arial" w:hAnsi="Arial" w:cs="Arial"/>
          <w:b/>
          <w:sz w:val="22"/>
          <w:szCs w:val="22"/>
        </w:rPr>
      </w:pPr>
      <w:r w:rsidRPr="009B12FF">
        <w:rPr>
          <w:rFonts w:ascii="Arial" w:hAnsi="Arial" w:cs="Arial"/>
          <w:b/>
          <w:sz w:val="22"/>
          <w:szCs w:val="22"/>
        </w:rPr>
        <w:t>Aspectos positivos externos</w:t>
      </w:r>
    </w:p>
    <w:p w:rsidR="00FA2EAA" w:rsidRPr="009B12FF" w:rsidRDefault="00FA2EAA" w:rsidP="002A4873">
      <w:pPr>
        <w:jc w:val="both"/>
        <w:rPr>
          <w:rFonts w:ascii="Arial" w:hAnsi="Arial" w:cs="Arial"/>
          <w:b/>
          <w:sz w:val="22"/>
          <w:szCs w:val="22"/>
        </w:rPr>
      </w:pPr>
    </w:p>
    <w:p w:rsidR="00246C2A" w:rsidRPr="009B12FF" w:rsidRDefault="00246C2A" w:rsidP="002A4873">
      <w:pPr>
        <w:jc w:val="both"/>
        <w:rPr>
          <w:rFonts w:ascii="Arial" w:hAnsi="Arial" w:cs="Arial"/>
          <w:sz w:val="22"/>
          <w:szCs w:val="22"/>
        </w:rPr>
      </w:pPr>
      <w:r w:rsidRPr="009B12FF">
        <w:rPr>
          <w:rFonts w:ascii="Arial" w:hAnsi="Arial" w:cs="Arial"/>
          <w:sz w:val="22"/>
          <w:szCs w:val="22"/>
        </w:rPr>
        <w:t xml:space="preserve">Las organizaciones han atendido los requerimientos institucionales, lográndose disminuir la cantidad de instituciones a las cuales se deban retener los recursos por falta de documentación. </w:t>
      </w:r>
    </w:p>
    <w:p w:rsidR="00C22651" w:rsidRPr="009B12FF" w:rsidRDefault="00C22651" w:rsidP="002A4873">
      <w:pPr>
        <w:jc w:val="both"/>
        <w:rPr>
          <w:rFonts w:ascii="Arial" w:hAnsi="Arial" w:cs="Arial"/>
          <w:sz w:val="22"/>
          <w:szCs w:val="22"/>
        </w:rPr>
      </w:pPr>
    </w:p>
    <w:p w:rsidR="00246C2A" w:rsidRPr="009B12FF" w:rsidRDefault="00246C2A" w:rsidP="002A4873">
      <w:pPr>
        <w:jc w:val="both"/>
        <w:rPr>
          <w:rFonts w:ascii="Arial" w:hAnsi="Arial" w:cs="Arial"/>
          <w:b/>
          <w:sz w:val="22"/>
          <w:szCs w:val="22"/>
        </w:rPr>
      </w:pPr>
      <w:r w:rsidRPr="009B12FF">
        <w:rPr>
          <w:rFonts w:ascii="Arial" w:hAnsi="Arial" w:cs="Arial"/>
          <w:b/>
          <w:sz w:val="22"/>
          <w:szCs w:val="22"/>
        </w:rPr>
        <w:t>Cómo repercutió en l</w:t>
      </w:r>
      <w:r w:rsidR="002A4873" w:rsidRPr="009B12FF">
        <w:rPr>
          <w:rFonts w:ascii="Arial" w:hAnsi="Arial" w:cs="Arial"/>
          <w:b/>
          <w:sz w:val="22"/>
          <w:szCs w:val="22"/>
        </w:rPr>
        <w:t>a entrega de bienes y servicios.</w:t>
      </w:r>
    </w:p>
    <w:p w:rsidR="00FA2EAA" w:rsidRPr="009B12FF" w:rsidRDefault="00FA2EAA" w:rsidP="002A4873">
      <w:pPr>
        <w:jc w:val="both"/>
        <w:rPr>
          <w:rFonts w:ascii="Arial" w:hAnsi="Arial" w:cs="Arial"/>
          <w:b/>
          <w:sz w:val="22"/>
          <w:szCs w:val="22"/>
        </w:rPr>
      </w:pPr>
    </w:p>
    <w:p w:rsidR="00246C2A" w:rsidRPr="009B12FF" w:rsidRDefault="00246C2A" w:rsidP="002A4873">
      <w:pPr>
        <w:jc w:val="both"/>
        <w:rPr>
          <w:rFonts w:ascii="Arial" w:hAnsi="Arial" w:cs="Arial"/>
          <w:sz w:val="22"/>
          <w:szCs w:val="22"/>
        </w:rPr>
      </w:pPr>
      <w:r w:rsidRPr="009B12FF">
        <w:rPr>
          <w:rFonts w:ascii="Arial" w:hAnsi="Arial" w:cs="Arial"/>
          <w:sz w:val="22"/>
          <w:szCs w:val="22"/>
        </w:rPr>
        <w:t>Las organizaciones sociales e instituciones que reciben recursos para el programa de giros directos se benefician de su entrega oportuna, con el fin de solventar necesidades en lo que se refiere a: Investigación, atención, prevención, entre otras, que se refieren al mejoramiento de la salud de la población nacional, a saber:</w:t>
      </w:r>
    </w:p>
    <w:p w:rsidR="00A4635E" w:rsidRPr="009B12FF" w:rsidRDefault="00A4635E" w:rsidP="002A4873">
      <w:pPr>
        <w:jc w:val="both"/>
        <w:rPr>
          <w:rFonts w:ascii="Arial" w:hAnsi="Arial" w:cs="Arial"/>
          <w:sz w:val="22"/>
          <w:szCs w:val="22"/>
        </w:rPr>
      </w:pPr>
    </w:p>
    <w:p w:rsidR="009C4822" w:rsidRPr="009B12FF" w:rsidRDefault="009C4822" w:rsidP="002A4873">
      <w:pPr>
        <w:jc w:val="center"/>
        <w:rPr>
          <w:rFonts w:ascii="Arial" w:hAnsi="Arial" w:cs="Arial"/>
          <w:b/>
          <w:sz w:val="22"/>
          <w:szCs w:val="22"/>
        </w:rPr>
      </w:pPr>
    </w:p>
    <w:p w:rsidR="00A4635E" w:rsidRPr="009B12FF" w:rsidRDefault="00A4635E" w:rsidP="002A4873">
      <w:pPr>
        <w:jc w:val="center"/>
        <w:rPr>
          <w:rFonts w:ascii="Arial" w:hAnsi="Arial" w:cs="Arial"/>
          <w:b/>
          <w:sz w:val="22"/>
          <w:szCs w:val="22"/>
        </w:rPr>
      </w:pPr>
      <w:r w:rsidRPr="009B12FF">
        <w:rPr>
          <w:rFonts w:ascii="Arial" w:hAnsi="Arial" w:cs="Arial"/>
          <w:b/>
          <w:sz w:val="22"/>
          <w:szCs w:val="22"/>
        </w:rPr>
        <w:t>UTILIDADES DISTRIBUIDAS POR ENTIDAD</w:t>
      </w:r>
    </w:p>
    <w:p w:rsidR="002A4873" w:rsidRPr="009B12FF" w:rsidRDefault="002A4873" w:rsidP="002A4873">
      <w:pPr>
        <w:jc w:val="center"/>
        <w:rPr>
          <w:rFonts w:ascii="Arial" w:hAnsi="Arial" w:cs="Arial"/>
          <w:b/>
          <w:sz w:val="22"/>
          <w:szCs w:val="22"/>
        </w:rPr>
      </w:pPr>
    </w:p>
    <w:tbl>
      <w:tblPr>
        <w:tblW w:w="8206" w:type="dxa"/>
        <w:jc w:val="center"/>
        <w:tblCellMar>
          <w:left w:w="70" w:type="dxa"/>
          <w:right w:w="70" w:type="dxa"/>
        </w:tblCellMar>
        <w:tblLook w:val="04A0" w:firstRow="1" w:lastRow="0" w:firstColumn="1" w:lastColumn="0" w:noHBand="0" w:noVBand="1"/>
      </w:tblPr>
      <w:tblGrid>
        <w:gridCol w:w="5921"/>
        <w:gridCol w:w="2285"/>
      </w:tblGrid>
      <w:tr w:rsidR="00A4635E" w:rsidRPr="009B12FF" w:rsidTr="005E7634">
        <w:trPr>
          <w:trHeight w:val="346"/>
          <w:jc w:val="center"/>
        </w:trPr>
        <w:tc>
          <w:tcPr>
            <w:tcW w:w="59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635E" w:rsidRPr="009B12FF" w:rsidRDefault="00A4635E" w:rsidP="002A4873">
            <w:pPr>
              <w:jc w:val="center"/>
              <w:rPr>
                <w:rFonts w:ascii="Arial" w:eastAsia="Times New Roman" w:hAnsi="Arial" w:cs="Arial"/>
                <w:b/>
                <w:bCs/>
                <w:color w:val="000000"/>
                <w:sz w:val="22"/>
                <w:szCs w:val="22"/>
              </w:rPr>
            </w:pPr>
            <w:r w:rsidRPr="009B12FF">
              <w:rPr>
                <w:rFonts w:ascii="Arial" w:eastAsia="Times New Roman" w:hAnsi="Arial" w:cs="Arial"/>
                <w:b/>
                <w:bCs/>
                <w:color w:val="000000"/>
                <w:sz w:val="22"/>
                <w:szCs w:val="22"/>
              </w:rPr>
              <w:t>AREA DE ATENCIÓN</w:t>
            </w:r>
          </w:p>
        </w:tc>
        <w:tc>
          <w:tcPr>
            <w:tcW w:w="2285" w:type="dxa"/>
            <w:tcBorders>
              <w:top w:val="single" w:sz="4" w:space="0" w:color="auto"/>
              <w:left w:val="nil"/>
              <w:bottom w:val="single" w:sz="4" w:space="0" w:color="auto"/>
              <w:right w:val="single" w:sz="4" w:space="0" w:color="auto"/>
            </w:tcBorders>
            <w:shd w:val="clear" w:color="auto" w:fill="auto"/>
            <w:noWrap/>
            <w:vAlign w:val="bottom"/>
            <w:hideMark/>
          </w:tcPr>
          <w:p w:rsidR="00A4635E" w:rsidRPr="009B12FF" w:rsidRDefault="00A4635E" w:rsidP="002A4873">
            <w:pPr>
              <w:jc w:val="center"/>
              <w:rPr>
                <w:rFonts w:ascii="Arial" w:eastAsia="Times New Roman" w:hAnsi="Arial" w:cs="Arial"/>
                <w:b/>
                <w:bCs/>
                <w:color w:val="000000"/>
                <w:sz w:val="22"/>
                <w:szCs w:val="22"/>
              </w:rPr>
            </w:pPr>
            <w:r w:rsidRPr="009B12FF">
              <w:rPr>
                <w:rFonts w:ascii="Arial" w:eastAsia="Times New Roman" w:hAnsi="Arial" w:cs="Arial"/>
                <w:b/>
                <w:bCs/>
                <w:color w:val="000000"/>
                <w:sz w:val="22"/>
                <w:szCs w:val="22"/>
              </w:rPr>
              <w:t>MONTO</w:t>
            </w:r>
          </w:p>
        </w:tc>
      </w:tr>
      <w:tr w:rsidR="00A4635E" w:rsidRPr="009B12FF" w:rsidTr="005E7634">
        <w:trPr>
          <w:trHeight w:val="346"/>
          <w:jc w:val="center"/>
        </w:trPr>
        <w:tc>
          <w:tcPr>
            <w:tcW w:w="5921" w:type="dxa"/>
            <w:tcBorders>
              <w:top w:val="nil"/>
              <w:left w:val="single" w:sz="4" w:space="0" w:color="auto"/>
              <w:bottom w:val="single" w:sz="4" w:space="0" w:color="auto"/>
              <w:right w:val="single" w:sz="4" w:space="0" w:color="auto"/>
            </w:tcBorders>
            <w:shd w:val="clear" w:color="000000" w:fill="FFFFFF"/>
            <w:noWrap/>
            <w:hideMark/>
          </w:tcPr>
          <w:p w:rsidR="00A4635E" w:rsidRPr="009B12FF" w:rsidRDefault="00A4635E" w:rsidP="002A4873">
            <w:pPr>
              <w:rPr>
                <w:rFonts w:ascii="Arial" w:eastAsia="Times New Roman" w:hAnsi="Arial" w:cs="Arial"/>
                <w:sz w:val="22"/>
                <w:szCs w:val="22"/>
              </w:rPr>
            </w:pPr>
            <w:r w:rsidRPr="009B12FF">
              <w:rPr>
                <w:rFonts w:ascii="Arial" w:eastAsia="Times New Roman" w:hAnsi="Arial" w:cs="Arial"/>
                <w:sz w:val="22"/>
                <w:szCs w:val="22"/>
              </w:rPr>
              <w:t>Asociación Costarricense para el Tamizaje</w:t>
            </w:r>
          </w:p>
        </w:tc>
        <w:tc>
          <w:tcPr>
            <w:tcW w:w="2285" w:type="dxa"/>
            <w:tcBorders>
              <w:top w:val="nil"/>
              <w:left w:val="nil"/>
              <w:bottom w:val="single" w:sz="4" w:space="0" w:color="auto"/>
              <w:right w:val="single" w:sz="4" w:space="0" w:color="auto"/>
            </w:tcBorders>
            <w:shd w:val="clear" w:color="000000" w:fill="FFFFFF"/>
            <w:noWrap/>
            <w:hideMark/>
          </w:tcPr>
          <w:p w:rsidR="00A4635E" w:rsidRPr="009B12FF" w:rsidRDefault="00A4635E" w:rsidP="002A4873">
            <w:pPr>
              <w:jc w:val="right"/>
              <w:rPr>
                <w:rFonts w:ascii="Arial" w:eastAsia="Times New Roman" w:hAnsi="Arial" w:cs="Arial"/>
                <w:sz w:val="22"/>
                <w:szCs w:val="22"/>
              </w:rPr>
            </w:pPr>
            <w:r w:rsidRPr="009B12FF">
              <w:rPr>
                <w:rFonts w:ascii="Arial" w:eastAsia="Times New Roman" w:hAnsi="Arial" w:cs="Arial"/>
                <w:sz w:val="22"/>
                <w:szCs w:val="22"/>
              </w:rPr>
              <w:t>404,690,530.44</w:t>
            </w:r>
          </w:p>
        </w:tc>
      </w:tr>
      <w:tr w:rsidR="00A4635E" w:rsidRPr="009B12FF" w:rsidTr="005E7634">
        <w:trPr>
          <w:trHeight w:val="346"/>
          <w:jc w:val="center"/>
        </w:trPr>
        <w:tc>
          <w:tcPr>
            <w:tcW w:w="5921" w:type="dxa"/>
            <w:tcBorders>
              <w:top w:val="nil"/>
              <w:left w:val="single" w:sz="4" w:space="0" w:color="auto"/>
              <w:bottom w:val="single" w:sz="4" w:space="0" w:color="auto"/>
              <w:right w:val="single" w:sz="4" w:space="0" w:color="auto"/>
            </w:tcBorders>
            <w:shd w:val="clear" w:color="000000" w:fill="FFFFFF"/>
            <w:noWrap/>
            <w:hideMark/>
          </w:tcPr>
          <w:p w:rsidR="00A4635E" w:rsidRPr="009B12FF" w:rsidRDefault="00A4635E" w:rsidP="002A4873">
            <w:pPr>
              <w:rPr>
                <w:rFonts w:ascii="Arial" w:eastAsia="Times New Roman" w:hAnsi="Arial" w:cs="Arial"/>
                <w:sz w:val="22"/>
                <w:szCs w:val="22"/>
              </w:rPr>
            </w:pPr>
            <w:r w:rsidRPr="009B12FF">
              <w:rPr>
                <w:rFonts w:ascii="Arial" w:eastAsia="Times New Roman" w:hAnsi="Arial" w:cs="Arial"/>
                <w:sz w:val="22"/>
                <w:szCs w:val="22"/>
              </w:rPr>
              <w:t>Asoc. Cruz Roja Costarricense</w:t>
            </w:r>
          </w:p>
        </w:tc>
        <w:tc>
          <w:tcPr>
            <w:tcW w:w="2285" w:type="dxa"/>
            <w:tcBorders>
              <w:top w:val="nil"/>
              <w:left w:val="nil"/>
              <w:bottom w:val="single" w:sz="4" w:space="0" w:color="auto"/>
              <w:right w:val="single" w:sz="4" w:space="0" w:color="auto"/>
            </w:tcBorders>
            <w:shd w:val="clear" w:color="000000" w:fill="FFFFFF"/>
            <w:noWrap/>
            <w:hideMark/>
          </w:tcPr>
          <w:p w:rsidR="00A4635E" w:rsidRPr="009B12FF" w:rsidRDefault="00A4635E" w:rsidP="002A4873">
            <w:pPr>
              <w:jc w:val="right"/>
              <w:rPr>
                <w:rFonts w:ascii="Arial" w:eastAsia="Times New Roman" w:hAnsi="Arial" w:cs="Arial"/>
                <w:sz w:val="22"/>
                <w:szCs w:val="22"/>
              </w:rPr>
            </w:pPr>
            <w:r w:rsidRPr="009B12FF">
              <w:rPr>
                <w:rFonts w:ascii="Arial" w:eastAsia="Times New Roman" w:hAnsi="Arial" w:cs="Arial"/>
                <w:sz w:val="22"/>
                <w:szCs w:val="22"/>
              </w:rPr>
              <w:t>564,708,842.58</w:t>
            </w:r>
          </w:p>
        </w:tc>
      </w:tr>
      <w:tr w:rsidR="00A4635E" w:rsidRPr="009B12FF" w:rsidTr="005E7634">
        <w:trPr>
          <w:trHeight w:val="346"/>
          <w:jc w:val="center"/>
        </w:trPr>
        <w:tc>
          <w:tcPr>
            <w:tcW w:w="5921" w:type="dxa"/>
            <w:tcBorders>
              <w:top w:val="nil"/>
              <w:left w:val="single" w:sz="4" w:space="0" w:color="auto"/>
              <w:bottom w:val="single" w:sz="4" w:space="0" w:color="auto"/>
              <w:right w:val="single" w:sz="4" w:space="0" w:color="auto"/>
            </w:tcBorders>
            <w:shd w:val="clear" w:color="000000" w:fill="FFFFFF"/>
            <w:noWrap/>
            <w:hideMark/>
          </w:tcPr>
          <w:p w:rsidR="00A4635E" w:rsidRPr="009B12FF" w:rsidRDefault="00A4635E" w:rsidP="002A4873">
            <w:pPr>
              <w:rPr>
                <w:rFonts w:ascii="Arial" w:eastAsia="Times New Roman" w:hAnsi="Arial" w:cs="Arial"/>
                <w:sz w:val="22"/>
                <w:szCs w:val="22"/>
              </w:rPr>
            </w:pPr>
            <w:r w:rsidRPr="009B12FF">
              <w:rPr>
                <w:rFonts w:ascii="Arial" w:eastAsia="Times New Roman" w:hAnsi="Arial" w:cs="Arial"/>
                <w:sz w:val="22"/>
                <w:szCs w:val="22"/>
              </w:rPr>
              <w:t>Asoc. Gerontológica Costarricense</w:t>
            </w:r>
          </w:p>
        </w:tc>
        <w:tc>
          <w:tcPr>
            <w:tcW w:w="2285" w:type="dxa"/>
            <w:tcBorders>
              <w:top w:val="nil"/>
              <w:left w:val="nil"/>
              <w:bottom w:val="single" w:sz="4" w:space="0" w:color="auto"/>
              <w:right w:val="single" w:sz="4" w:space="0" w:color="auto"/>
            </w:tcBorders>
            <w:shd w:val="clear" w:color="000000" w:fill="FFFFFF"/>
            <w:noWrap/>
            <w:hideMark/>
          </w:tcPr>
          <w:p w:rsidR="00A4635E" w:rsidRPr="009B12FF" w:rsidRDefault="00A4635E" w:rsidP="002A4873">
            <w:pPr>
              <w:jc w:val="right"/>
              <w:rPr>
                <w:rFonts w:ascii="Arial" w:eastAsia="Times New Roman" w:hAnsi="Arial" w:cs="Arial"/>
                <w:sz w:val="22"/>
                <w:szCs w:val="22"/>
              </w:rPr>
            </w:pPr>
            <w:r w:rsidRPr="009B12FF">
              <w:rPr>
                <w:rFonts w:ascii="Arial" w:eastAsia="Times New Roman" w:hAnsi="Arial" w:cs="Arial"/>
                <w:sz w:val="22"/>
                <w:szCs w:val="22"/>
              </w:rPr>
              <w:t>469,678,327.65</w:t>
            </w:r>
          </w:p>
        </w:tc>
      </w:tr>
      <w:tr w:rsidR="00A4635E" w:rsidRPr="009B12FF" w:rsidTr="005E7634">
        <w:trPr>
          <w:trHeight w:val="346"/>
          <w:jc w:val="center"/>
        </w:trPr>
        <w:tc>
          <w:tcPr>
            <w:tcW w:w="5921" w:type="dxa"/>
            <w:tcBorders>
              <w:top w:val="nil"/>
              <w:left w:val="single" w:sz="4" w:space="0" w:color="auto"/>
              <w:bottom w:val="single" w:sz="4" w:space="0" w:color="auto"/>
              <w:right w:val="single" w:sz="4" w:space="0" w:color="auto"/>
            </w:tcBorders>
            <w:shd w:val="clear" w:color="000000" w:fill="FFFFFF"/>
            <w:noWrap/>
            <w:hideMark/>
          </w:tcPr>
          <w:p w:rsidR="00A4635E" w:rsidRPr="009B12FF" w:rsidRDefault="00A4635E" w:rsidP="002A4873">
            <w:pPr>
              <w:rPr>
                <w:rFonts w:ascii="Arial" w:eastAsia="Times New Roman" w:hAnsi="Arial" w:cs="Arial"/>
                <w:sz w:val="22"/>
                <w:szCs w:val="22"/>
              </w:rPr>
            </w:pPr>
            <w:r w:rsidRPr="009B12FF">
              <w:rPr>
                <w:rFonts w:ascii="Arial" w:eastAsia="Times New Roman" w:hAnsi="Arial" w:cs="Arial"/>
                <w:sz w:val="22"/>
                <w:szCs w:val="22"/>
              </w:rPr>
              <w:t>Caja Costarricense de Seguro Social</w:t>
            </w:r>
          </w:p>
        </w:tc>
        <w:tc>
          <w:tcPr>
            <w:tcW w:w="2285" w:type="dxa"/>
            <w:tcBorders>
              <w:top w:val="nil"/>
              <w:left w:val="nil"/>
              <w:bottom w:val="single" w:sz="4" w:space="0" w:color="auto"/>
              <w:right w:val="single" w:sz="4" w:space="0" w:color="auto"/>
            </w:tcBorders>
            <w:shd w:val="clear" w:color="000000" w:fill="FFFFFF"/>
            <w:noWrap/>
            <w:hideMark/>
          </w:tcPr>
          <w:p w:rsidR="00A4635E" w:rsidRPr="009B12FF" w:rsidRDefault="00A4635E" w:rsidP="002A4873">
            <w:pPr>
              <w:jc w:val="right"/>
              <w:rPr>
                <w:rFonts w:ascii="Arial" w:eastAsia="Times New Roman" w:hAnsi="Arial" w:cs="Arial"/>
                <w:sz w:val="22"/>
                <w:szCs w:val="22"/>
              </w:rPr>
            </w:pPr>
            <w:r w:rsidRPr="009B12FF">
              <w:rPr>
                <w:rFonts w:ascii="Arial" w:eastAsia="Times New Roman" w:hAnsi="Arial" w:cs="Arial"/>
                <w:sz w:val="22"/>
                <w:szCs w:val="22"/>
              </w:rPr>
              <w:t>2,801,703,672.27</w:t>
            </w:r>
          </w:p>
        </w:tc>
      </w:tr>
      <w:tr w:rsidR="00A4635E" w:rsidRPr="009B12FF" w:rsidTr="005E7634">
        <w:trPr>
          <w:trHeight w:val="346"/>
          <w:jc w:val="center"/>
        </w:trPr>
        <w:tc>
          <w:tcPr>
            <w:tcW w:w="5921" w:type="dxa"/>
            <w:tcBorders>
              <w:top w:val="nil"/>
              <w:left w:val="single" w:sz="4" w:space="0" w:color="auto"/>
              <w:bottom w:val="single" w:sz="4" w:space="0" w:color="auto"/>
              <w:right w:val="single" w:sz="4" w:space="0" w:color="auto"/>
            </w:tcBorders>
            <w:shd w:val="clear" w:color="000000" w:fill="FFFFFF"/>
            <w:noWrap/>
            <w:hideMark/>
          </w:tcPr>
          <w:p w:rsidR="00A4635E" w:rsidRPr="009B12FF" w:rsidRDefault="00A4635E" w:rsidP="002A4873">
            <w:pPr>
              <w:rPr>
                <w:rFonts w:ascii="Arial" w:eastAsia="Times New Roman" w:hAnsi="Arial" w:cs="Arial"/>
                <w:sz w:val="22"/>
                <w:szCs w:val="22"/>
              </w:rPr>
            </w:pPr>
            <w:r w:rsidRPr="009B12FF">
              <w:rPr>
                <w:rFonts w:ascii="Arial" w:eastAsia="Times New Roman" w:hAnsi="Arial" w:cs="Arial"/>
                <w:sz w:val="22"/>
                <w:szCs w:val="22"/>
              </w:rPr>
              <w:t>Comisión Nacional de Vacunación…</w:t>
            </w:r>
          </w:p>
        </w:tc>
        <w:tc>
          <w:tcPr>
            <w:tcW w:w="2285" w:type="dxa"/>
            <w:tcBorders>
              <w:top w:val="nil"/>
              <w:left w:val="nil"/>
              <w:bottom w:val="single" w:sz="4" w:space="0" w:color="auto"/>
              <w:right w:val="single" w:sz="4" w:space="0" w:color="auto"/>
            </w:tcBorders>
            <w:shd w:val="clear" w:color="000000" w:fill="FFFFFF"/>
            <w:noWrap/>
            <w:hideMark/>
          </w:tcPr>
          <w:p w:rsidR="00A4635E" w:rsidRPr="009B12FF" w:rsidRDefault="00A4635E" w:rsidP="002A4873">
            <w:pPr>
              <w:jc w:val="right"/>
              <w:rPr>
                <w:rFonts w:ascii="Arial" w:eastAsia="Times New Roman" w:hAnsi="Arial" w:cs="Arial"/>
                <w:sz w:val="22"/>
                <w:szCs w:val="22"/>
              </w:rPr>
            </w:pPr>
            <w:r w:rsidRPr="009B12FF">
              <w:rPr>
                <w:rFonts w:ascii="Arial" w:eastAsia="Times New Roman" w:hAnsi="Arial" w:cs="Arial"/>
                <w:sz w:val="22"/>
                <w:szCs w:val="22"/>
              </w:rPr>
              <w:t>176,981,012.00</w:t>
            </w:r>
          </w:p>
        </w:tc>
      </w:tr>
      <w:tr w:rsidR="00A4635E" w:rsidRPr="009B12FF" w:rsidTr="005E7634">
        <w:trPr>
          <w:trHeight w:val="346"/>
          <w:jc w:val="center"/>
        </w:trPr>
        <w:tc>
          <w:tcPr>
            <w:tcW w:w="5921" w:type="dxa"/>
            <w:tcBorders>
              <w:top w:val="nil"/>
              <w:left w:val="single" w:sz="4" w:space="0" w:color="auto"/>
              <w:bottom w:val="single" w:sz="4" w:space="0" w:color="auto"/>
              <w:right w:val="single" w:sz="4" w:space="0" w:color="auto"/>
            </w:tcBorders>
            <w:shd w:val="clear" w:color="000000" w:fill="FFFFFF"/>
            <w:noWrap/>
            <w:hideMark/>
          </w:tcPr>
          <w:p w:rsidR="00A4635E" w:rsidRPr="009B12FF" w:rsidRDefault="00A4635E" w:rsidP="002A4873">
            <w:pPr>
              <w:rPr>
                <w:rFonts w:ascii="Arial" w:eastAsia="Times New Roman" w:hAnsi="Arial" w:cs="Arial"/>
                <w:sz w:val="22"/>
                <w:szCs w:val="22"/>
              </w:rPr>
            </w:pPr>
            <w:r w:rsidRPr="009B12FF">
              <w:rPr>
                <w:rFonts w:ascii="Arial" w:eastAsia="Times New Roman" w:hAnsi="Arial" w:cs="Arial"/>
                <w:sz w:val="22"/>
                <w:szCs w:val="22"/>
              </w:rPr>
              <w:t>Consejo Nacional de la P. Pública de la Persona Joven</w:t>
            </w:r>
          </w:p>
        </w:tc>
        <w:tc>
          <w:tcPr>
            <w:tcW w:w="2285" w:type="dxa"/>
            <w:tcBorders>
              <w:top w:val="nil"/>
              <w:left w:val="nil"/>
              <w:bottom w:val="single" w:sz="4" w:space="0" w:color="auto"/>
              <w:right w:val="single" w:sz="4" w:space="0" w:color="auto"/>
            </w:tcBorders>
            <w:shd w:val="clear" w:color="000000" w:fill="FFFFFF"/>
            <w:noWrap/>
            <w:hideMark/>
          </w:tcPr>
          <w:p w:rsidR="00A4635E" w:rsidRPr="009B12FF" w:rsidRDefault="00A4635E" w:rsidP="002A4873">
            <w:pPr>
              <w:jc w:val="right"/>
              <w:rPr>
                <w:rFonts w:ascii="Arial" w:eastAsia="Times New Roman" w:hAnsi="Arial" w:cs="Arial"/>
                <w:sz w:val="22"/>
                <w:szCs w:val="22"/>
              </w:rPr>
            </w:pPr>
            <w:r w:rsidRPr="009B12FF">
              <w:rPr>
                <w:rFonts w:ascii="Arial" w:eastAsia="Times New Roman" w:hAnsi="Arial" w:cs="Arial"/>
                <w:sz w:val="22"/>
                <w:szCs w:val="22"/>
              </w:rPr>
              <w:t>288,296,948.75</w:t>
            </w:r>
          </w:p>
        </w:tc>
      </w:tr>
      <w:tr w:rsidR="00A4635E" w:rsidRPr="009B12FF" w:rsidTr="005E7634">
        <w:trPr>
          <w:trHeight w:val="346"/>
          <w:jc w:val="center"/>
        </w:trPr>
        <w:tc>
          <w:tcPr>
            <w:tcW w:w="5921" w:type="dxa"/>
            <w:tcBorders>
              <w:top w:val="nil"/>
              <w:left w:val="single" w:sz="4" w:space="0" w:color="auto"/>
              <w:bottom w:val="single" w:sz="4" w:space="0" w:color="auto"/>
              <w:right w:val="single" w:sz="4" w:space="0" w:color="auto"/>
            </w:tcBorders>
            <w:shd w:val="clear" w:color="000000" w:fill="FFFFFF"/>
            <w:noWrap/>
            <w:hideMark/>
          </w:tcPr>
          <w:p w:rsidR="00A4635E" w:rsidRPr="009B12FF" w:rsidRDefault="00A4635E" w:rsidP="002A4873">
            <w:pPr>
              <w:rPr>
                <w:rFonts w:ascii="Arial" w:eastAsia="Times New Roman" w:hAnsi="Arial" w:cs="Arial"/>
                <w:sz w:val="22"/>
                <w:szCs w:val="22"/>
              </w:rPr>
            </w:pPr>
            <w:r w:rsidRPr="009B12FF">
              <w:rPr>
                <w:rFonts w:ascii="Arial" w:eastAsia="Times New Roman" w:hAnsi="Arial" w:cs="Arial"/>
                <w:sz w:val="22"/>
                <w:szCs w:val="22"/>
              </w:rPr>
              <w:t>Centro Psiquiátrico Penitenciario</w:t>
            </w:r>
          </w:p>
        </w:tc>
        <w:tc>
          <w:tcPr>
            <w:tcW w:w="2285" w:type="dxa"/>
            <w:tcBorders>
              <w:top w:val="nil"/>
              <w:left w:val="nil"/>
              <w:bottom w:val="single" w:sz="4" w:space="0" w:color="auto"/>
              <w:right w:val="single" w:sz="4" w:space="0" w:color="auto"/>
            </w:tcBorders>
            <w:shd w:val="clear" w:color="000000" w:fill="FFFFFF"/>
            <w:noWrap/>
            <w:hideMark/>
          </w:tcPr>
          <w:p w:rsidR="00A4635E" w:rsidRPr="009B12FF" w:rsidRDefault="00A4635E" w:rsidP="002A4873">
            <w:pPr>
              <w:jc w:val="right"/>
              <w:rPr>
                <w:rFonts w:ascii="Arial" w:eastAsia="Times New Roman" w:hAnsi="Arial" w:cs="Arial"/>
                <w:sz w:val="22"/>
                <w:szCs w:val="22"/>
              </w:rPr>
            </w:pPr>
            <w:r w:rsidRPr="009B12FF">
              <w:rPr>
                <w:rFonts w:ascii="Arial" w:eastAsia="Times New Roman" w:hAnsi="Arial" w:cs="Arial"/>
                <w:sz w:val="22"/>
                <w:szCs w:val="22"/>
              </w:rPr>
              <w:t>19,319,135.98</w:t>
            </w:r>
          </w:p>
        </w:tc>
      </w:tr>
      <w:tr w:rsidR="00A4635E" w:rsidRPr="009B12FF" w:rsidTr="005E7634">
        <w:trPr>
          <w:trHeight w:val="346"/>
          <w:jc w:val="center"/>
        </w:trPr>
        <w:tc>
          <w:tcPr>
            <w:tcW w:w="5921" w:type="dxa"/>
            <w:tcBorders>
              <w:top w:val="nil"/>
              <w:left w:val="single" w:sz="4" w:space="0" w:color="auto"/>
              <w:bottom w:val="single" w:sz="4" w:space="0" w:color="auto"/>
              <w:right w:val="single" w:sz="4" w:space="0" w:color="auto"/>
            </w:tcBorders>
            <w:shd w:val="clear" w:color="000000" w:fill="FFFFFF"/>
            <w:noWrap/>
            <w:hideMark/>
          </w:tcPr>
          <w:p w:rsidR="00A4635E" w:rsidRPr="009B12FF" w:rsidRDefault="00A4635E" w:rsidP="002A4873">
            <w:pPr>
              <w:rPr>
                <w:rFonts w:ascii="Arial" w:eastAsia="Times New Roman" w:hAnsi="Arial" w:cs="Arial"/>
                <w:sz w:val="22"/>
                <w:szCs w:val="22"/>
              </w:rPr>
            </w:pPr>
            <w:r w:rsidRPr="009B12FF">
              <w:rPr>
                <w:rFonts w:ascii="Arial" w:eastAsia="Times New Roman" w:hAnsi="Arial" w:cs="Arial"/>
                <w:sz w:val="22"/>
                <w:szCs w:val="22"/>
              </w:rPr>
              <w:t>Consejo Técnico de Asistencia Social</w:t>
            </w:r>
          </w:p>
        </w:tc>
        <w:tc>
          <w:tcPr>
            <w:tcW w:w="2285" w:type="dxa"/>
            <w:tcBorders>
              <w:top w:val="nil"/>
              <w:left w:val="nil"/>
              <w:bottom w:val="single" w:sz="4" w:space="0" w:color="auto"/>
              <w:right w:val="single" w:sz="4" w:space="0" w:color="auto"/>
            </w:tcBorders>
            <w:shd w:val="clear" w:color="000000" w:fill="FFFFFF"/>
            <w:noWrap/>
            <w:hideMark/>
          </w:tcPr>
          <w:p w:rsidR="00A4635E" w:rsidRPr="009B12FF" w:rsidRDefault="00A4635E" w:rsidP="002A4873">
            <w:pPr>
              <w:jc w:val="right"/>
              <w:rPr>
                <w:rFonts w:ascii="Arial" w:eastAsia="Times New Roman" w:hAnsi="Arial" w:cs="Arial"/>
                <w:sz w:val="22"/>
                <w:szCs w:val="22"/>
              </w:rPr>
            </w:pPr>
            <w:r w:rsidRPr="009B12FF">
              <w:rPr>
                <w:rFonts w:ascii="Arial" w:eastAsia="Times New Roman" w:hAnsi="Arial" w:cs="Arial"/>
                <w:sz w:val="22"/>
                <w:szCs w:val="22"/>
              </w:rPr>
              <w:t>985,577,507.67</w:t>
            </w:r>
          </w:p>
        </w:tc>
      </w:tr>
      <w:tr w:rsidR="00A4635E" w:rsidRPr="009B12FF" w:rsidTr="005E7634">
        <w:trPr>
          <w:trHeight w:val="346"/>
          <w:jc w:val="center"/>
        </w:trPr>
        <w:tc>
          <w:tcPr>
            <w:tcW w:w="5921" w:type="dxa"/>
            <w:tcBorders>
              <w:top w:val="nil"/>
              <w:left w:val="single" w:sz="4" w:space="0" w:color="auto"/>
              <w:bottom w:val="single" w:sz="4" w:space="0" w:color="auto"/>
              <w:right w:val="single" w:sz="4" w:space="0" w:color="auto"/>
            </w:tcBorders>
            <w:shd w:val="clear" w:color="000000" w:fill="FFFFFF"/>
            <w:noWrap/>
            <w:hideMark/>
          </w:tcPr>
          <w:p w:rsidR="00A4635E" w:rsidRPr="009B12FF" w:rsidRDefault="00A4635E" w:rsidP="002A4873">
            <w:pPr>
              <w:rPr>
                <w:rFonts w:ascii="Arial" w:eastAsia="Times New Roman" w:hAnsi="Arial" w:cs="Arial"/>
                <w:sz w:val="22"/>
                <w:szCs w:val="22"/>
              </w:rPr>
            </w:pPr>
            <w:r w:rsidRPr="009B12FF">
              <w:rPr>
                <w:rFonts w:ascii="Arial" w:eastAsia="Times New Roman" w:hAnsi="Arial" w:cs="Arial"/>
                <w:sz w:val="22"/>
                <w:szCs w:val="22"/>
              </w:rPr>
              <w:t>Instituto Costarricense del Deporte y la Recreación</w:t>
            </w:r>
          </w:p>
        </w:tc>
        <w:tc>
          <w:tcPr>
            <w:tcW w:w="2285" w:type="dxa"/>
            <w:tcBorders>
              <w:top w:val="nil"/>
              <w:left w:val="nil"/>
              <w:bottom w:val="single" w:sz="4" w:space="0" w:color="auto"/>
              <w:right w:val="single" w:sz="4" w:space="0" w:color="auto"/>
            </w:tcBorders>
            <w:shd w:val="clear" w:color="000000" w:fill="FFFFFF"/>
            <w:noWrap/>
            <w:hideMark/>
          </w:tcPr>
          <w:p w:rsidR="00A4635E" w:rsidRPr="009B12FF" w:rsidRDefault="00A4635E" w:rsidP="002A4873">
            <w:pPr>
              <w:jc w:val="right"/>
              <w:rPr>
                <w:rFonts w:ascii="Arial" w:eastAsia="Times New Roman" w:hAnsi="Arial" w:cs="Arial"/>
                <w:sz w:val="22"/>
                <w:szCs w:val="22"/>
              </w:rPr>
            </w:pPr>
            <w:r w:rsidRPr="009B12FF">
              <w:rPr>
                <w:rFonts w:ascii="Arial" w:eastAsia="Times New Roman" w:hAnsi="Arial" w:cs="Arial"/>
                <w:sz w:val="22"/>
                <w:szCs w:val="22"/>
              </w:rPr>
              <w:t>525,641,337.46</w:t>
            </w:r>
          </w:p>
        </w:tc>
      </w:tr>
      <w:tr w:rsidR="00A4635E" w:rsidRPr="009B12FF" w:rsidTr="005E7634">
        <w:trPr>
          <w:trHeight w:val="346"/>
          <w:jc w:val="center"/>
        </w:trPr>
        <w:tc>
          <w:tcPr>
            <w:tcW w:w="5921" w:type="dxa"/>
            <w:tcBorders>
              <w:top w:val="nil"/>
              <w:left w:val="single" w:sz="4" w:space="0" w:color="auto"/>
              <w:bottom w:val="single" w:sz="4" w:space="0" w:color="auto"/>
              <w:right w:val="single" w:sz="4" w:space="0" w:color="auto"/>
            </w:tcBorders>
            <w:shd w:val="clear" w:color="000000" w:fill="FFFFFF"/>
            <w:noWrap/>
            <w:hideMark/>
          </w:tcPr>
          <w:p w:rsidR="00A4635E" w:rsidRPr="009B12FF" w:rsidRDefault="00A4635E" w:rsidP="002A4873">
            <w:pPr>
              <w:rPr>
                <w:rFonts w:ascii="Arial" w:eastAsia="Times New Roman" w:hAnsi="Arial" w:cs="Arial"/>
                <w:sz w:val="22"/>
                <w:szCs w:val="22"/>
              </w:rPr>
            </w:pPr>
            <w:r w:rsidRPr="009B12FF">
              <w:rPr>
                <w:rFonts w:ascii="Arial" w:eastAsia="Times New Roman" w:hAnsi="Arial" w:cs="Arial"/>
                <w:sz w:val="22"/>
                <w:szCs w:val="22"/>
              </w:rPr>
              <w:t>Asoc. Hogares Crea</w:t>
            </w:r>
          </w:p>
        </w:tc>
        <w:tc>
          <w:tcPr>
            <w:tcW w:w="2285" w:type="dxa"/>
            <w:tcBorders>
              <w:top w:val="nil"/>
              <w:left w:val="nil"/>
              <w:bottom w:val="single" w:sz="4" w:space="0" w:color="auto"/>
              <w:right w:val="single" w:sz="4" w:space="0" w:color="auto"/>
            </w:tcBorders>
            <w:shd w:val="clear" w:color="000000" w:fill="FFFFFF"/>
            <w:noWrap/>
            <w:hideMark/>
          </w:tcPr>
          <w:p w:rsidR="00A4635E" w:rsidRPr="009B12FF" w:rsidRDefault="00A4635E" w:rsidP="002A4873">
            <w:pPr>
              <w:jc w:val="right"/>
              <w:rPr>
                <w:rFonts w:ascii="Arial" w:eastAsia="Times New Roman" w:hAnsi="Arial" w:cs="Arial"/>
                <w:sz w:val="22"/>
                <w:szCs w:val="22"/>
              </w:rPr>
            </w:pPr>
            <w:r w:rsidRPr="009B12FF">
              <w:rPr>
                <w:rFonts w:ascii="Arial" w:eastAsia="Times New Roman" w:hAnsi="Arial" w:cs="Arial"/>
                <w:sz w:val="22"/>
                <w:szCs w:val="22"/>
              </w:rPr>
              <w:t>77,825,102.04</w:t>
            </w:r>
          </w:p>
        </w:tc>
      </w:tr>
      <w:tr w:rsidR="00A4635E" w:rsidRPr="009B12FF" w:rsidTr="005E7634">
        <w:trPr>
          <w:trHeight w:val="346"/>
          <w:jc w:val="center"/>
        </w:trPr>
        <w:tc>
          <w:tcPr>
            <w:tcW w:w="5921" w:type="dxa"/>
            <w:tcBorders>
              <w:top w:val="nil"/>
              <w:left w:val="single" w:sz="4" w:space="0" w:color="auto"/>
              <w:bottom w:val="single" w:sz="4" w:space="0" w:color="auto"/>
              <w:right w:val="single" w:sz="4" w:space="0" w:color="auto"/>
            </w:tcBorders>
            <w:shd w:val="clear" w:color="000000" w:fill="FFFFFF"/>
            <w:noWrap/>
            <w:hideMark/>
          </w:tcPr>
          <w:p w:rsidR="00A4635E" w:rsidRPr="009B12FF" w:rsidRDefault="00A4635E" w:rsidP="002A4873">
            <w:pPr>
              <w:rPr>
                <w:rFonts w:ascii="Arial" w:eastAsia="Times New Roman" w:hAnsi="Arial" w:cs="Arial"/>
                <w:sz w:val="22"/>
                <w:szCs w:val="22"/>
              </w:rPr>
            </w:pPr>
            <w:r w:rsidRPr="009B12FF">
              <w:rPr>
                <w:rFonts w:ascii="Arial" w:eastAsia="Times New Roman" w:hAnsi="Arial" w:cs="Arial"/>
                <w:sz w:val="22"/>
                <w:szCs w:val="22"/>
              </w:rPr>
              <w:t>Banco Hipotecario de la Vivienda</w:t>
            </w:r>
          </w:p>
        </w:tc>
        <w:tc>
          <w:tcPr>
            <w:tcW w:w="2285" w:type="dxa"/>
            <w:tcBorders>
              <w:top w:val="nil"/>
              <w:left w:val="nil"/>
              <w:bottom w:val="single" w:sz="4" w:space="0" w:color="auto"/>
              <w:right w:val="single" w:sz="4" w:space="0" w:color="auto"/>
            </w:tcBorders>
            <w:shd w:val="clear" w:color="000000" w:fill="FFFFFF"/>
            <w:noWrap/>
            <w:hideMark/>
          </w:tcPr>
          <w:p w:rsidR="00A4635E" w:rsidRPr="009B12FF" w:rsidRDefault="00A4635E" w:rsidP="002A4873">
            <w:pPr>
              <w:jc w:val="right"/>
              <w:rPr>
                <w:rFonts w:ascii="Arial" w:eastAsia="Times New Roman" w:hAnsi="Arial" w:cs="Arial"/>
                <w:sz w:val="22"/>
                <w:szCs w:val="22"/>
              </w:rPr>
            </w:pPr>
            <w:r w:rsidRPr="009B12FF">
              <w:rPr>
                <w:rFonts w:ascii="Arial" w:eastAsia="Times New Roman" w:hAnsi="Arial" w:cs="Arial"/>
                <w:sz w:val="22"/>
                <w:szCs w:val="22"/>
              </w:rPr>
              <w:t>534,790,686.00</w:t>
            </w:r>
          </w:p>
        </w:tc>
      </w:tr>
      <w:tr w:rsidR="00A4635E" w:rsidRPr="009B12FF" w:rsidTr="005E7634">
        <w:trPr>
          <w:trHeight w:val="346"/>
          <w:jc w:val="center"/>
        </w:trPr>
        <w:tc>
          <w:tcPr>
            <w:tcW w:w="5921" w:type="dxa"/>
            <w:tcBorders>
              <w:top w:val="nil"/>
              <w:left w:val="single" w:sz="4" w:space="0" w:color="auto"/>
              <w:bottom w:val="single" w:sz="4" w:space="0" w:color="auto"/>
              <w:right w:val="single" w:sz="4" w:space="0" w:color="auto"/>
            </w:tcBorders>
            <w:shd w:val="clear" w:color="000000" w:fill="FFFFFF"/>
            <w:noWrap/>
            <w:hideMark/>
          </w:tcPr>
          <w:p w:rsidR="00A4635E" w:rsidRPr="009B12FF" w:rsidRDefault="00A4635E" w:rsidP="002A4873">
            <w:pPr>
              <w:rPr>
                <w:rFonts w:ascii="Arial" w:eastAsia="Times New Roman" w:hAnsi="Arial" w:cs="Arial"/>
                <w:b/>
                <w:bCs/>
                <w:sz w:val="22"/>
                <w:szCs w:val="22"/>
              </w:rPr>
            </w:pPr>
            <w:r w:rsidRPr="009B12FF">
              <w:rPr>
                <w:rFonts w:ascii="Arial" w:eastAsia="Times New Roman" w:hAnsi="Arial" w:cs="Arial"/>
                <w:b/>
                <w:bCs/>
                <w:sz w:val="22"/>
                <w:szCs w:val="22"/>
              </w:rPr>
              <w:t>TOTAL TRANSFERIDO</w:t>
            </w:r>
          </w:p>
        </w:tc>
        <w:tc>
          <w:tcPr>
            <w:tcW w:w="2285" w:type="dxa"/>
            <w:tcBorders>
              <w:top w:val="nil"/>
              <w:left w:val="nil"/>
              <w:bottom w:val="single" w:sz="4" w:space="0" w:color="auto"/>
              <w:right w:val="single" w:sz="4" w:space="0" w:color="auto"/>
            </w:tcBorders>
            <w:shd w:val="clear" w:color="000000" w:fill="FFFFFF"/>
            <w:noWrap/>
            <w:hideMark/>
          </w:tcPr>
          <w:p w:rsidR="00A4635E" w:rsidRPr="009B12FF" w:rsidRDefault="00A4635E" w:rsidP="002A4873">
            <w:pPr>
              <w:jc w:val="right"/>
              <w:rPr>
                <w:rFonts w:ascii="Arial" w:eastAsia="Times New Roman" w:hAnsi="Arial" w:cs="Arial"/>
                <w:b/>
                <w:bCs/>
                <w:sz w:val="22"/>
                <w:szCs w:val="22"/>
              </w:rPr>
            </w:pPr>
            <w:r w:rsidRPr="009B12FF">
              <w:rPr>
                <w:rFonts w:ascii="Arial" w:eastAsia="Times New Roman" w:hAnsi="Arial" w:cs="Arial"/>
                <w:b/>
                <w:bCs/>
                <w:sz w:val="22"/>
                <w:szCs w:val="22"/>
              </w:rPr>
              <w:t>6,849,213,102.84</w:t>
            </w:r>
          </w:p>
        </w:tc>
      </w:tr>
    </w:tbl>
    <w:p w:rsidR="00A4635E" w:rsidRPr="009B12FF" w:rsidRDefault="00A4635E" w:rsidP="00F25592">
      <w:pPr>
        <w:ind w:left="851" w:hanging="143"/>
        <w:rPr>
          <w:rFonts w:ascii="Arial" w:hAnsi="Arial" w:cs="Arial"/>
          <w:sz w:val="14"/>
          <w:szCs w:val="14"/>
        </w:rPr>
      </w:pPr>
      <w:r w:rsidRPr="009B12FF">
        <w:rPr>
          <w:rFonts w:ascii="Arial" w:hAnsi="Arial" w:cs="Arial"/>
          <w:sz w:val="14"/>
          <w:szCs w:val="14"/>
        </w:rPr>
        <w:t xml:space="preserve">  </w:t>
      </w:r>
      <w:r w:rsidR="004707AA" w:rsidRPr="009B12FF">
        <w:rPr>
          <w:rFonts w:ascii="Arial" w:hAnsi="Arial" w:cs="Arial"/>
          <w:b/>
          <w:sz w:val="14"/>
          <w:szCs w:val="14"/>
        </w:rPr>
        <w:t>FI: GDS-017 del 09 de enero de 2014</w:t>
      </w:r>
      <w:r w:rsidRPr="009B12FF">
        <w:rPr>
          <w:rFonts w:ascii="Arial" w:hAnsi="Arial" w:cs="Arial"/>
          <w:b/>
          <w:sz w:val="14"/>
          <w:szCs w:val="14"/>
        </w:rPr>
        <w:t>, Control de transferencias para giro directo</w:t>
      </w:r>
      <w:r w:rsidR="004707AA" w:rsidRPr="009B12FF">
        <w:rPr>
          <w:rFonts w:ascii="Arial" w:hAnsi="Arial" w:cs="Arial"/>
          <w:b/>
          <w:sz w:val="14"/>
          <w:szCs w:val="14"/>
        </w:rPr>
        <w:t>.</w:t>
      </w:r>
    </w:p>
    <w:p w:rsidR="00C22651" w:rsidRPr="009B12FF" w:rsidRDefault="00F25592" w:rsidP="00462EEB">
      <w:pPr>
        <w:spacing w:line="276" w:lineRule="auto"/>
        <w:jc w:val="both"/>
        <w:rPr>
          <w:rFonts w:ascii="Arial" w:hAnsi="Arial" w:cs="Arial"/>
          <w:sz w:val="22"/>
          <w:szCs w:val="22"/>
        </w:rPr>
      </w:pPr>
      <w:r w:rsidRPr="009B12FF">
        <w:rPr>
          <w:noProof/>
          <w:lang w:val="es-CR" w:eastAsia="es-CR"/>
        </w:rPr>
        <w:drawing>
          <wp:inline distT="0" distB="0" distL="0" distR="0" wp14:anchorId="7489FF39" wp14:editId="6D113686">
            <wp:extent cx="5276851" cy="3638551"/>
            <wp:effectExtent l="0" t="0" r="19050" b="19050"/>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46C2A" w:rsidRPr="009B12FF" w:rsidRDefault="003C5FF7" w:rsidP="009636A4">
      <w:pPr>
        <w:spacing w:line="276" w:lineRule="auto"/>
        <w:rPr>
          <w:rFonts w:ascii="Arial" w:hAnsi="Arial" w:cs="Arial"/>
          <w:b/>
          <w:sz w:val="14"/>
          <w:szCs w:val="14"/>
        </w:rPr>
      </w:pPr>
      <w:r w:rsidRPr="009B12FF">
        <w:rPr>
          <w:rFonts w:ascii="Arial" w:hAnsi="Arial" w:cs="Arial"/>
          <w:b/>
          <w:sz w:val="16"/>
          <w:szCs w:val="16"/>
        </w:rPr>
        <w:t xml:space="preserve"> </w:t>
      </w:r>
      <w:r w:rsidR="00724E2F" w:rsidRPr="009B12FF">
        <w:rPr>
          <w:rFonts w:ascii="Arial" w:hAnsi="Arial" w:cs="Arial"/>
          <w:b/>
          <w:sz w:val="14"/>
          <w:szCs w:val="14"/>
        </w:rPr>
        <w:t>FI: GDS-017 del 09 de enero de 2014</w:t>
      </w:r>
    </w:p>
    <w:p w:rsidR="009636A4" w:rsidRPr="009B12FF" w:rsidRDefault="009636A4" w:rsidP="00462EEB">
      <w:pPr>
        <w:spacing w:line="276" w:lineRule="auto"/>
        <w:ind w:firstLine="708"/>
        <w:rPr>
          <w:rFonts w:ascii="Arial" w:hAnsi="Arial" w:cs="Arial"/>
          <w:sz w:val="16"/>
          <w:szCs w:val="16"/>
        </w:rPr>
      </w:pPr>
    </w:p>
    <w:p w:rsidR="00246C2A" w:rsidRPr="009B12FF" w:rsidRDefault="00246C2A" w:rsidP="00FA66F6">
      <w:pPr>
        <w:jc w:val="both"/>
        <w:rPr>
          <w:rFonts w:ascii="Arial" w:hAnsi="Arial" w:cs="Arial"/>
          <w:b/>
          <w:sz w:val="22"/>
          <w:szCs w:val="22"/>
        </w:rPr>
      </w:pPr>
      <w:r w:rsidRPr="009B12FF">
        <w:rPr>
          <w:rFonts w:ascii="Arial" w:hAnsi="Arial" w:cs="Arial"/>
          <w:b/>
          <w:sz w:val="22"/>
          <w:szCs w:val="22"/>
        </w:rPr>
        <w:t>Indicador 4</w:t>
      </w:r>
    </w:p>
    <w:p w:rsidR="00246C2A" w:rsidRPr="009B12FF" w:rsidRDefault="00246C2A" w:rsidP="00FA66F6">
      <w:pPr>
        <w:ind w:left="360"/>
        <w:jc w:val="both"/>
        <w:rPr>
          <w:rFonts w:ascii="Arial" w:hAnsi="Arial" w:cs="Arial"/>
          <w:b/>
          <w:sz w:val="22"/>
          <w:szCs w:val="22"/>
        </w:rPr>
      </w:pPr>
      <w:r w:rsidRPr="009B12FF">
        <w:rPr>
          <w:rFonts w:ascii="Arial" w:hAnsi="Arial" w:cs="Arial"/>
          <w:b/>
          <w:sz w:val="22"/>
          <w:szCs w:val="22"/>
        </w:rPr>
        <w:t>Porcentaje de proyectos atendidos en tiempo establecido (8 meses) respecto al total de proyectos ap</w:t>
      </w:r>
      <w:r w:rsidR="00C12F0A" w:rsidRPr="009B12FF">
        <w:rPr>
          <w:rFonts w:ascii="Arial" w:hAnsi="Arial" w:cs="Arial"/>
          <w:b/>
          <w:sz w:val="22"/>
          <w:szCs w:val="22"/>
        </w:rPr>
        <w:t>robados por Junta Directiva 2013</w:t>
      </w:r>
      <w:r w:rsidRPr="009B12FF">
        <w:rPr>
          <w:rFonts w:ascii="Arial" w:hAnsi="Arial" w:cs="Arial"/>
          <w:b/>
          <w:sz w:val="22"/>
          <w:szCs w:val="22"/>
        </w:rPr>
        <w:t xml:space="preserve"> (producto – calidad).</w:t>
      </w:r>
    </w:p>
    <w:tbl>
      <w:tblPr>
        <w:tblStyle w:val="Tablaconcuadrcula"/>
        <w:tblW w:w="8613" w:type="dxa"/>
        <w:tblLayout w:type="fixed"/>
        <w:tblLook w:val="04A0" w:firstRow="1" w:lastRow="0" w:firstColumn="1" w:lastColumn="0" w:noHBand="0" w:noVBand="1"/>
      </w:tblPr>
      <w:tblGrid>
        <w:gridCol w:w="3652"/>
        <w:gridCol w:w="992"/>
        <w:gridCol w:w="1985"/>
        <w:gridCol w:w="1984"/>
      </w:tblGrid>
      <w:tr w:rsidR="00EA447A" w:rsidRPr="009B12FF" w:rsidTr="00881DDC">
        <w:tc>
          <w:tcPr>
            <w:tcW w:w="3652" w:type="dxa"/>
            <w:vAlign w:val="center"/>
          </w:tcPr>
          <w:p w:rsidR="00EA447A" w:rsidRPr="009B12FF" w:rsidRDefault="00824B5B" w:rsidP="00FA66F6">
            <w:pPr>
              <w:jc w:val="center"/>
              <w:rPr>
                <w:rFonts w:ascii="Arial" w:hAnsi="Arial" w:cs="Arial"/>
                <w:b/>
                <w:sz w:val="22"/>
                <w:szCs w:val="22"/>
              </w:rPr>
            </w:pPr>
            <w:r w:rsidRPr="009B12FF">
              <w:rPr>
                <w:rFonts w:ascii="Arial" w:hAnsi="Arial" w:cs="Arial"/>
                <w:b/>
                <w:sz w:val="22"/>
                <w:szCs w:val="22"/>
              </w:rPr>
              <w:t>Fórmula del Indicador</w:t>
            </w:r>
          </w:p>
        </w:tc>
        <w:tc>
          <w:tcPr>
            <w:tcW w:w="992" w:type="dxa"/>
            <w:vAlign w:val="center"/>
          </w:tcPr>
          <w:p w:rsidR="00EA447A" w:rsidRPr="009B12FF" w:rsidRDefault="00EA447A" w:rsidP="00FA66F6">
            <w:pPr>
              <w:jc w:val="center"/>
              <w:rPr>
                <w:rFonts w:ascii="Arial" w:hAnsi="Arial" w:cs="Arial"/>
                <w:b/>
                <w:sz w:val="22"/>
                <w:szCs w:val="22"/>
              </w:rPr>
            </w:pPr>
            <w:r w:rsidRPr="009B12FF">
              <w:rPr>
                <w:rFonts w:ascii="Arial" w:hAnsi="Arial" w:cs="Arial"/>
                <w:b/>
                <w:sz w:val="22"/>
                <w:szCs w:val="22"/>
              </w:rPr>
              <w:t>Meta</w:t>
            </w:r>
          </w:p>
        </w:tc>
        <w:tc>
          <w:tcPr>
            <w:tcW w:w="1985" w:type="dxa"/>
            <w:vAlign w:val="center"/>
          </w:tcPr>
          <w:p w:rsidR="00EA447A" w:rsidRPr="009B12FF" w:rsidRDefault="00EA447A" w:rsidP="00FA66F6">
            <w:pPr>
              <w:jc w:val="center"/>
              <w:rPr>
                <w:rFonts w:ascii="Arial" w:hAnsi="Arial" w:cs="Arial"/>
                <w:b/>
                <w:sz w:val="22"/>
                <w:szCs w:val="22"/>
              </w:rPr>
            </w:pPr>
            <w:r w:rsidRPr="009B12FF">
              <w:rPr>
                <w:rFonts w:ascii="Arial" w:hAnsi="Arial" w:cs="Arial"/>
                <w:b/>
                <w:sz w:val="22"/>
                <w:szCs w:val="22"/>
              </w:rPr>
              <w:t>Real alcanzado</w:t>
            </w:r>
          </w:p>
        </w:tc>
        <w:tc>
          <w:tcPr>
            <w:tcW w:w="1984" w:type="dxa"/>
          </w:tcPr>
          <w:p w:rsidR="00EA447A" w:rsidRPr="009B12FF" w:rsidRDefault="00EA447A" w:rsidP="00FA66F6">
            <w:pPr>
              <w:jc w:val="center"/>
              <w:rPr>
                <w:rFonts w:ascii="Arial" w:hAnsi="Arial" w:cs="Arial"/>
                <w:b/>
                <w:sz w:val="22"/>
                <w:szCs w:val="22"/>
              </w:rPr>
            </w:pPr>
            <w:r w:rsidRPr="009B12FF">
              <w:rPr>
                <w:rFonts w:ascii="Arial" w:hAnsi="Arial" w:cs="Arial"/>
                <w:b/>
                <w:sz w:val="22"/>
                <w:szCs w:val="22"/>
              </w:rPr>
              <w:t>% Cumplimiento</w:t>
            </w:r>
          </w:p>
        </w:tc>
      </w:tr>
      <w:tr w:rsidR="0080108F" w:rsidRPr="009B12FF" w:rsidTr="00881DDC">
        <w:tc>
          <w:tcPr>
            <w:tcW w:w="3652" w:type="dxa"/>
            <w:vAlign w:val="center"/>
          </w:tcPr>
          <w:p w:rsidR="0080108F" w:rsidRPr="009B12FF" w:rsidRDefault="0080108F" w:rsidP="00FA66F6">
            <w:pPr>
              <w:rPr>
                <w:rFonts w:ascii="Arial" w:hAnsi="Arial" w:cs="Arial"/>
                <w:sz w:val="22"/>
                <w:szCs w:val="22"/>
                <w:lang w:val="es-ES"/>
              </w:rPr>
            </w:pPr>
            <w:r w:rsidRPr="009B12FF">
              <w:rPr>
                <w:rFonts w:ascii="Arial" w:hAnsi="Arial" w:cs="Arial"/>
                <w:sz w:val="22"/>
                <w:szCs w:val="22"/>
                <w:lang w:val="es-ES"/>
              </w:rPr>
              <w:t>Proyectos atendidos en tiempo establecido (8meses)/ Total de proyectos aprobados por Junta Directiva y/o Gerenci</w:t>
            </w:r>
            <w:r w:rsidR="009636A4" w:rsidRPr="009B12FF">
              <w:rPr>
                <w:rFonts w:ascii="Arial" w:hAnsi="Arial" w:cs="Arial"/>
                <w:sz w:val="22"/>
                <w:szCs w:val="22"/>
                <w:lang w:val="es-ES"/>
              </w:rPr>
              <w:t>a año x)*</w:t>
            </w:r>
            <w:r w:rsidRPr="009B12FF">
              <w:rPr>
                <w:rFonts w:ascii="Arial" w:hAnsi="Arial" w:cs="Arial"/>
                <w:sz w:val="22"/>
                <w:szCs w:val="22"/>
                <w:lang w:val="es-ES"/>
              </w:rPr>
              <w:t>100</w:t>
            </w:r>
          </w:p>
        </w:tc>
        <w:tc>
          <w:tcPr>
            <w:tcW w:w="992" w:type="dxa"/>
            <w:vAlign w:val="center"/>
          </w:tcPr>
          <w:p w:rsidR="0080108F" w:rsidRPr="009B12FF" w:rsidRDefault="0080108F" w:rsidP="00FA66F6">
            <w:pPr>
              <w:jc w:val="center"/>
              <w:rPr>
                <w:rFonts w:ascii="Arial" w:hAnsi="Arial" w:cs="Arial"/>
                <w:sz w:val="22"/>
                <w:szCs w:val="22"/>
              </w:rPr>
            </w:pPr>
            <w:r w:rsidRPr="009B12FF">
              <w:rPr>
                <w:rFonts w:ascii="Arial" w:hAnsi="Arial" w:cs="Arial"/>
                <w:sz w:val="22"/>
                <w:szCs w:val="22"/>
              </w:rPr>
              <w:t>85%</w:t>
            </w:r>
          </w:p>
        </w:tc>
        <w:tc>
          <w:tcPr>
            <w:tcW w:w="1985" w:type="dxa"/>
            <w:vAlign w:val="center"/>
          </w:tcPr>
          <w:p w:rsidR="0080108F" w:rsidRPr="009B12FF" w:rsidRDefault="001C4033" w:rsidP="00FA66F6">
            <w:pPr>
              <w:jc w:val="center"/>
              <w:rPr>
                <w:rFonts w:ascii="Arial" w:hAnsi="Arial" w:cs="Arial"/>
                <w:sz w:val="22"/>
                <w:szCs w:val="22"/>
              </w:rPr>
            </w:pPr>
            <w:r w:rsidRPr="009B12FF">
              <w:rPr>
                <w:rFonts w:ascii="Arial" w:hAnsi="Arial" w:cs="Arial"/>
                <w:sz w:val="22"/>
                <w:szCs w:val="22"/>
              </w:rPr>
              <w:t>92,51</w:t>
            </w:r>
            <w:r w:rsidR="0080108F" w:rsidRPr="009B12FF">
              <w:rPr>
                <w:rFonts w:ascii="Arial" w:hAnsi="Arial" w:cs="Arial"/>
                <w:sz w:val="22"/>
                <w:szCs w:val="22"/>
              </w:rPr>
              <w:t>%</w:t>
            </w:r>
          </w:p>
        </w:tc>
        <w:tc>
          <w:tcPr>
            <w:tcW w:w="1984" w:type="dxa"/>
            <w:vAlign w:val="center"/>
          </w:tcPr>
          <w:p w:rsidR="0080108F" w:rsidRPr="009B12FF" w:rsidRDefault="00275054" w:rsidP="00FA66F6">
            <w:pPr>
              <w:jc w:val="center"/>
              <w:rPr>
                <w:rFonts w:ascii="Arial" w:hAnsi="Arial" w:cs="Arial"/>
                <w:sz w:val="22"/>
                <w:szCs w:val="22"/>
              </w:rPr>
            </w:pPr>
            <w:r w:rsidRPr="009B12FF">
              <w:rPr>
                <w:rFonts w:ascii="Arial" w:hAnsi="Arial" w:cs="Arial"/>
                <w:sz w:val="22"/>
                <w:szCs w:val="22"/>
              </w:rPr>
              <w:t>108.84%.</w:t>
            </w:r>
          </w:p>
        </w:tc>
      </w:tr>
    </w:tbl>
    <w:p w:rsidR="00607C6C" w:rsidRPr="009B12FF" w:rsidRDefault="00607C6C" w:rsidP="00FA66F6">
      <w:pPr>
        <w:jc w:val="both"/>
        <w:rPr>
          <w:rFonts w:ascii="Arial" w:hAnsi="Arial" w:cs="Arial"/>
          <w:sz w:val="22"/>
          <w:szCs w:val="22"/>
        </w:rPr>
      </w:pPr>
    </w:p>
    <w:p w:rsidR="00246C2A" w:rsidRPr="009B12FF" w:rsidRDefault="00246C2A" w:rsidP="00FA66F6">
      <w:pPr>
        <w:jc w:val="both"/>
        <w:rPr>
          <w:rFonts w:ascii="Arial" w:hAnsi="Arial" w:cs="Arial"/>
          <w:sz w:val="22"/>
          <w:szCs w:val="22"/>
        </w:rPr>
      </w:pPr>
      <w:r w:rsidRPr="009B12FF">
        <w:rPr>
          <w:rFonts w:ascii="Arial" w:hAnsi="Arial" w:cs="Arial"/>
          <w:sz w:val="22"/>
          <w:szCs w:val="22"/>
        </w:rPr>
        <w:t>Para este indica</w:t>
      </w:r>
      <w:r w:rsidR="000D21D1" w:rsidRPr="009B12FF">
        <w:rPr>
          <w:rFonts w:ascii="Arial" w:hAnsi="Arial" w:cs="Arial"/>
          <w:sz w:val="22"/>
          <w:szCs w:val="22"/>
        </w:rPr>
        <w:t xml:space="preserve">dor se proyectó </w:t>
      </w:r>
      <w:r w:rsidR="00E30715" w:rsidRPr="009B12FF">
        <w:rPr>
          <w:rFonts w:ascii="Arial" w:hAnsi="Arial" w:cs="Arial"/>
          <w:sz w:val="22"/>
          <w:szCs w:val="22"/>
        </w:rPr>
        <w:t xml:space="preserve">el </w:t>
      </w:r>
      <w:r w:rsidR="000D21D1" w:rsidRPr="009B12FF">
        <w:rPr>
          <w:rFonts w:ascii="Arial" w:hAnsi="Arial" w:cs="Arial"/>
          <w:sz w:val="22"/>
          <w:szCs w:val="22"/>
        </w:rPr>
        <w:t xml:space="preserve">desempeño del </w:t>
      </w:r>
      <w:r w:rsidRPr="009B12FF">
        <w:rPr>
          <w:rFonts w:ascii="Arial" w:hAnsi="Arial" w:cs="Arial"/>
          <w:sz w:val="22"/>
          <w:szCs w:val="22"/>
        </w:rPr>
        <w:t xml:space="preserve">85%, con un porcentaje de cumplimiento del </w:t>
      </w:r>
      <w:r w:rsidR="00E30715" w:rsidRPr="009B12FF">
        <w:rPr>
          <w:rFonts w:ascii="Arial" w:hAnsi="Arial" w:cs="Arial"/>
          <w:sz w:val="22"/>
          <w:szCs w:val="22"/>
        </w:rPr>
        <w:t xml:space="preserve">108.84%. </w:t>
      </w:r>
      <w:r w:rsidRPr="009B12FF">
        <w:rPr>
          <w:rFonts w:ascii="Arial" w:hAnsi="Arial" w:cs="Arial"/>
          <w:sz w:val="22"/>
          <w:szCs w:val="22"/>
        </w:rPr>
        <w:t xml:space="preserve">En el informe de rendición de cuentas emitido por el Departamento de Acción Social indica que al finalizar el año se atendieron </w:t>
      </w:r>
      <w:r w:rsidR="00E30715" w:rsidRPr="009B12FF">
        <w:rPr>
          <w:rFonts w:ascii="Arial" w:hAnsi="Arial" w:cs="Arial"/>
          <w:sz w:val="22"/>
          <w:szCs w:val="22"/>
        </w:rPr>
        <w:t xml:space="preserve">187 </w:t>
      </w:r>
      <w:r w:rsidRPr="009B12FF">
        <w:rPr>
          <w:rFonts w:ascii="Arial" w:hAnsi="Arial" w:cs="Arial"/>
          <w:sz w:val="22"/>
          <w:szCs w:val="22"/>
        </w:rPr>
        <w:t xml:space="preserve">proyectos específicos de los cuales </w:t>
      </w:r>
      <w:r w:rsidR="00446008" w:rsidRPr="009B12FF">
        <w:rPr>
          <w:rFonts w:ascii="Arial" w:hAnsi="Arial" w:cs="Arial"/>
          <w:sz w:val="22"/>
          <w:szCs w:val="22"/>
        </w:rPr>
        <w:t>173</w:t>
      </w:r>
      <w:r w:rsidRPr="009B12FF">
        <w:rPr>
          <w:rFonts w:ascii="Arial" w:hAnsi="Arial" w:cs="Arial"/>
          <w:sz w:val="22"/>
          <w:szCs w:val="22"/>
        </w:rPr>
        <w:t xml:space="preserve"> se aprobaron por Junta Directiva, conforme la priorización establecida por los entes rectores y la disponibilidad de recursos.</w:t>
      </w:r>
    </w:p>
    <w:p w:rsidR="00607C6C" w:rsidRPr="009B12FF" w:rsidRDefault="00607C6C" w:rsidP="00FA66F6">
      <w:pPr>
        <w:jc w:val="both"/>
        <w:rPr>
          <w:rFonts w:ascii="Arial" w:hAnsi="Arial" w:cs="Arial"/>
          <w:sz w:val="22"/>
          <w:szCs w:val="22"/>
        </w:rPr>
      </w:pPr>
    </w:p>
    <w:p w:rsidR="00246C2A" w:rsidRPr="009B12FF" w:rsidRDefault="00246C2A" w:rsidP="00FA66F6">
      <w:pPr>
        <w:jc w:val="both"/>
        <w:rPr>
          <w:rFonts w:ascii="Arial" w:hAnsi="Arial" w:cs="Arial"/>
          <w:sz w:val="22"/>
          <w:szCs w:val="22"/>
        </w:rPr>
      </w:pPr>
      <w:r w:rsidRPr="009B12FF">
        <w:rPr>
          <w:rFonts w:ascii="Arial" w:hAnsi="Arial" w:cs="Arial"/>
          <w:sz w:val="22"/>
          <w:szCs w:val="22"/>
        </w:rPr>
        <w:t xml:space="preserve">Se considera la ubicación de este indicador en la categoría de meta cumplida, lo anterior por cuanto el trámite interno para el estudio, análisis y aprobación de los proyectos es de aproximadamente 8 meses, proceso que contempla desde la solicitud inicial, viabilidad, estudios técnicos preliminares, visitas de campo, visado de planos, permisos municipales, procesos licitatorios, así como las </w:t>
      </w:r>
      <w:r w:rsidR="002A4873" w:rsidRPr="009B12FF">
        <w:rPr>
          <w:rFonts w:ascii="Arial" w:hAnsi="Arial" w:cs="Arial"/>
          <w:sz w:val="22"/>
          <w:szCs w:val="22"/>
        </w:rPr>
        <w:t xml:space="preserve">aprobaciones internas por parte </w:t>
      </w:r>
      <w:r w:rsidRPr="009B12FF">
        <w:rPr>
          <w:rFonts w:ascii="Arial" w:hAnsi="Arial" w:cs="Arial"/>
          <w:sz w:val="22"/>
          <w:szCs w:val="22"/>
        </w:rPr>
        <w:t>de la Gerencia General, Junta Directiva y las respectivas modificaciones presupuestarias, entre otros, por lo que los giros efectivos se realizaron en su mayoría durante el segundo semestre del año.</w:t>
      </w:r>
    </w:p>
    <w:p w:rsidR="00A2758D" w:rsidRPr="009B12FF" w:rsidRDefault="00A2758D" w:rsidP="00FA66F6">
      <w:pPr>
        <w:jc w:val="both"/>
        <w:rPr>
          <w:rFonts w:ascii="Arial" w:hAnsi="Arial" w:cs="Arial"/>
          <w:sz w:val="22"/>
          <w:szCs w:val="22"/>
        </w:rPr>
      </w:pPr>
    </w:p>
    <w:p w:rsidR="00246C2A" w:rsidRPr="009B12FF" w:rsidRDefault="00246C2A" w:rsidP="00FA66F6">
      <w:pPr>
        <w:jc w:val="both"/>
        <w:rPr>
          <w:rFonts w:ascii="Arial" w:hAnsi="Arial" w:cs="Arial"/>
          <w:sz w:val="22"/>
          <w:szCs w:val="22"/>
        </w:rPr>
      </w:pPr>
      <w:r w:rsidRPr="009B12FF">
        <w:rPr>
          <w:rFonts w:ascii="Arial" w:hAnsi="Arial" w:cs="Arial"/>
          <w:sz w:val="22"/>
          <w:szCs w:val="22"/>
        </w:rPr>
        <w:t>No obstante, varios proyectos por su característica, principalmente por ser obras de construcción o reparación de inmuebles, los giros se realizan por tractos conforme el avance de la obra, por lo que parte de los recurso</w:t>
      </w:r>
      <w:r w:rsidR="006B51A7" w:rsidRPr="009B12FF">
        <w:rPr>
          <w:rFonts w:ascii="Arial" w:hAnsi="Arial" w:cs="Arial"/>
          <w:sz w:val="22"/>
          <w:szCs w:val="22"/>
        </w:rPr>
        <w:t>s se giraron durante el año 2013</w:t>
      </w:r>
      <w:r w:rsidRPr="009B12FF">
        <w:rPr>
          <w:rFonts w:ascii="Arial" w:hAnsi="Arial" w:cs="Arial"/>
          <w:sz w:val="22"/>
          <w:szCs w:val="22"/>
        </w:rPr>
        <w:t xml:space="preserve"> y el resto se girar</w:t>
      </w:r>
      <w:r w:rsidR="006B51A7" w:rsidRPr="009B12FF">
        <w:rPr>
          <w:rFonts w:ascii="Arial" w:hAnsi="Arial" w:cs="Arial"/>
          <w:sz w:val="22"/>
          <w:szCs w:val="22"/>
        </w:rPr>
        <w:t>á durante el año 2014</w:t>
      </w:r>
      <w:r w:rsidRPr="009B12FF">
        <w:rPr>
          <w:rFonts w:ascii="Arial" w:hAnsi="Arial" w:cs="Arial"/>
          <w:sz w:val="22"/>
          <w:szCs w:val="22"/>
        </w:rPr>
        <w:t>, dependiendo de su naturaleza y duración de la obra.</w:t>
      </w:r>
    </w:p>
    <w:p w:rsidR="00EA447A" w:rsidRPr="009B12FF" w:rsidRDefault="00EA447A" w:rsidP="00FA66F6">
      <w:pPr>
        <w:jc w:val="both"/>
        <w:rPr>
          <w:rFonts w:ascii="Arial" w:hAnsi="Arial" w:cs="Arial"/>
          <w:b/>
          <w:sz w:val="22"/>
          <w:szCs w:val="22"/>
        </w:rPr>
      </w:pPr>
    </w:p>
    <w:p w:rsidR="00246C2A" w:rsidRPr="009B12FF" w:rsidRDefault="00EA447A" w:rsidP="00FA66F6">
      <w:pPr>
        <w:jc w:val="both"/>
        <w:rPr>
          <w:rFonts w:ascii="Arial" w:hAnsi="Arial" w:cs="Arial"/>
          <w:b/>
          <w:sz w:val="22"/>
          <w:szCs w:val="22"/>
        </w:rPr>
      </w:pPr>
      <w:r w:rsidRPr="009B12FF">
        <w:rPr>
          <w:rFonts w:ascii="Arial" w:hAnsi="Arial" w:cs="Arial"/>
          <w:b/>
          <w:sz w:val="22"/>
          <w:szCs w:val="22"/>
        </w:rPr>
        <w:t>Aspectos positivos internos</w:t>
      </w:r>
    </w:p>
    <w:p w:rsidR="00FA2EAA" w:rsidRPr="009B12FF" w:rsidRDefault="00FA2EAA" w:rsidP="00FA66F6">
      <w:pPr>
        <w:jc w:val="both"/>
        <w:rPr>
          <w:rFonts w:ascii="Arial" w:hAnsi="Arial" w:cs="Arial"/>
          <w:b/>
          <w:sz w:val="22"/>
          <w:szCs w:val="22"/>
        </w:rPr>
      </w:pPr>
    </w:p>
    <w:p w:rsidR="00246C2A" w:rsidRPr="009B12FF" w:rsidRDefault="00246C2A" w:rsidP="00FA66F6">
      <w:pPr>
        <w:jc w:val="both"/>
        <w:rPr>
          <w:rFonts w:ascii="Arial" w:hAnsi="Arial" w:cs="Arial"/>
          <w:sz w:val="22"/>
          <w:szCs w:val="22"/>
        </w:rPr>
      </w:pPr>
      <w:r w:rsidRPr="009B12FF">
        <w:rPr>
          <w:rFonts w:ascii="Arial" w:hAnsi="Arial" w:cs="Arial"/>
          <w:sz w:val="22"/>
          <w:szCs w:val="22"/>
        </w:rPr>
        <w:t>Al igual que en el indicador 2, la autorización del traslado de las plazas a cargos fijos mejora la atención de los proyectos y actividades inherentes a la función de traslado de recursos a los programas sociales que se atienden.</w:t>
      </w:r>
    </w:p>
    <w:p w:rsidR="00F31687" w:rsidRPr="009B12FF" w:rsidRDefault="00F31687" w:rsidP="00FA66F6">
      <w:pPr>
        <w:jc w:val="both"/>
        <w:rPr>
          <w:rFonts w:ascii="Arial" w:hAnsi="Arial" w:cs="Arial"/>
          <w:sz w:val="22"/>
          <w:szCs w:val="22"/>
        </w:rPr>
      </w:pPr>
    </w:p>
    <w:p w:rsidR="00246C2A" w:rsidRPr="009B12FF" w:rsidRDefault="00246C2A" w:rsidP="00FA66F6">
      <w:pPr>
        <w:jc w:val="both"/>
        <w:rPr>
          <w:rFonts w:ascii="Arial" w:hAnsi="Arial" w:cs="Arial"/>
          <w:sz w:val="22"/>
          <w:szCs w:val="22"/>
        </w:rPr>
      </w:pPr>
      <w:r w:rsidRPr="009B12FF">
        <w:rPr>
          <w:rFonts w:ascii="Arial" w:hAnsi="Arial" w:cs="Arial"/>
          <w:sz w:val="22"/>
          <w:szCs w:val="22"/>
        </w:rPr>
        <w:t>Cabe indicar que, por la estacionalidad propia de los proyectos dentro del año, su condición de trámite dentro de los ocho meses y la generación de utilidades dentro del período que deben irse acumulando para cubrir la totalidad de los montos de cada uno de ellos, este indicador quedó para el término del segundo semestre del año.</w:t>
      </w:r>
    </w:p>
    <w:p w:rsidR="0034355F" w:rsidRPr="009B12FF" w:rsidRDefault="0034355F" w:rsidP="00FA66F6">
      <w:pPr>
        <w:ind w:firstLine="708"/>
        <w:jc w:val="both"/>
        <w:rPr>
          <w:rFonts w:ascii="Arial" w:hAnsi="Arial" w:cs="Arial"/>
          <w:b/>
          <w:sz w:val="22"/>
          <w:szCs w:val="22"/>
        </w:rPr>
      </w:pPr>
    </w:p>
    <w:p w:rsidR="00567D9A" w:rsidRPr="009B12FF" w:rsidRDefault="00567D9A" w:rsidP="00FA66F6">
      <w:pPr>
        <w:jc w:val="both"/>
        <w:rPr>
          <w:rFonts w:ascii="Arial" w:hAnsi="Arial" w:cs="Arial"/>
          <w:sz w:val="22"/>
          <w:szCs w:val="22"/>
        </w:rPr>
      </w:pPr>
      <w:r w:rsidRPr="009B12FF">
        <w:rPr>
          <w:rFonts w:ascii="Arial" w:hAnsi="Arial" w:cs="Arial"/>
          <w:sz w:val="22"/>
          <w:szCs w:val="22"/>
        </w:rPr>
        <w:t>Es importante indicar que se encuentra en estudio la factibilidad de dividir este indicador de conformidad con el tipo de proyecto, en Necesidades Específicas y en Proyectos Específicos, con el fin de establecer el tiempo de duración en cada uno de los casos.</w:t>
      </w:r>
    </w:p>
    <w:p w:rsidR="00550A7B" w:rsidRPr="009B12FF" w:rsidRDefault="00550A7B" w:rsidP="00FA66F6">
      <w:pPr>
        <w:jc w:val="both"/>
        <w:rPr>
          <w:rFonts w:ascii="Arial" w:hAnsi="Arial" w:cs="Arial"/>
          <w:sz w:val="22"/>
          <w:szCs w:val="22"/>
        </w:rPr>
      </w:pPr>
    </w:p>
    <w:p w:rsidR="00246C2A" w:rsidRPr="009B12FF" w:rsidRDefault="00246C2A" w:rsidP="00FA66F6">
      <w:pPr>
        <w:jc w:val="both"/>
        <w:rPr>
          <w:rFonts w:ascii="Arial" w:hAnsi="Arial" w:cs="Arial"/>
          <w:b/>
          <w:sz w:val="22"/>
          <w:szCs w:val="22"/>
        </w:rPr>
      </w:pPr>
      <w:r w:rsidRPr="009B12FF">
        <w:rPr>
          <w:rFonts w:ascii="Arial" w:hAnsi="Arial" w:cs="Arial"/>
          <w:b/>
          <w:sz w:val="22"/>
          <w:szCs w:val="22"/>
        </w:rPr>
        <w:t xml:space="preserve">Cómo repercutió en la entrega de bienes </w:t>
      </w:r>
      <w:r w:rsidR="00550A7B" w:rsidRPr="009B12FF">
        <w:rPr>
          <w:rFonts w:ascii="Arial" w:hAnsi="Arial" w:cs="Arial"/>
          <w:b/>
          <w:sz w:val="22"/>
          <w:szCs w:val="22"/>
        </w:rPr>
        <w:t>y servicios.</w:t>
      </w:r>
    </w:p>
    <w:p w:rsidR="00FA2EAA" w:rsidRPr="009B12FF" w:rsidRDefault="00FA2EAA" w:rsidP="00FA66F6">
      <w:pPr>
        <w:jc w:val="both"/>
        <w:rPr>
          <w:rFonts w:ascii="Arial" w:hAnsi="Arial" w:cs="Arial"/>
          <w:b/>
          <w:sz w:val="22"/>
          <w:szCs w:val="22"/>
        </w:rPr>
      </w:pPr>
    </w:p>
    <w:p w:rsidR="00246C2A" w:rsidRPr="009B12FF" w:rsidRDefault="00246C2A" w:rsidP="00FA66F6">
      <w:pPr>
        <w:jc w:val="both"/>
        <w:rPr>
          <w:rFonts w:ascii="Arial" w:hAnsi="Arial" w:cs="Arial"/>
          <w:sz w:val="22"/>
          <w:szCs w:val="22"/>
        </w:rPr>
      </w:pPr>
      <w:r w:rsidRPr="009B12FF">
        <w:rPr>
          <w:rFonts w:ascii="Arial" w:hAnsi="Arial" w:cs="Arial"/>
          <w:sz w:val="22"/>
          <w:szCs w:val="22"/>
        </w:rPr>
        <w:t>Las organizaciones sociales que reciben recursos para el programa de proyectos específicos se benefician de su entrega oportuna, con el fin de solventar necesidades en lo que se refiere a: Mobiliario y equipo, vehículos, infraestructura, entre otras, que se refieren al mejoramiento de la salud de la población nacional.</w:t>
      </w:r>
    </w:p>
    <w:p w:rsidR="00C22651" w:rsidRPr="009B12FF" w:rsidRDefault="00C22651" w:rsidP="00FA66F6">
      <w:pPr>
        <w:rPr>
          <w:rFonts w:ascii="Arial" w:hAnsi="Arial" w:cs="Arial"/>
          <w:b/>
          <w:sz w:val="22"/>
          <w:szCs w:val="22"/>
          <w:u w:val="single"/>
        </w:rPr>
      </w:pPr>
    </w:p>
    <w:p w:rsidR="001C47F2" w:rsidRPr="009B12FF" w:rsidRDefault="001C47F2" w:rsidP="00FA66F6">
      <w:pPr>
        <w:jc w:val="both"/>
        <w:rPr>
          <w:rFonts w:ascii="Arial" w:hAnsi="Arial" w:cs="Arial"/>
          <w:b/>
          <w:sz w:val="22"/>
          <w:szCs w:val="22"/>
        </w:rPr>
      </w:pPr>
      <w:r w:rsidRPr="009B12FF">
        <w:rPr>
          <w:rFonts w:ascii="Arial" w:hAnsi="Arial" w:cs="Arial"/>
          <w:b/>
          <w:sz w:val="22"/>
          <w:szCs w:val="22"/>
        </w:rPr>
        <w:t>Indicador 5</w:t>
      </w:r>
    </w:p>
    <w:p w:rsidR="001C47F2" w:rsidRPr="009B12FF" w:rsidRDefault="001C47F2" w:rsidP="00FA66F6">
      <w:pPr>
        <w:ind w:left="360"/>
        <w:jc w:val="both"/>
        <w:rPr>
          <w:rFonts w:ascii="Arial" w:hAnsi="Arial" w:cs="Arial"/>
          <w:b/>
          <w:sz w:val="22"/>
          <w:szCs w:val="22"/>
        </w:rPr>
      </w:pPr>
      <w:r w:rsidRPr="009B12FF">
        <w:rPr>
          <w:rFonts w:ascii="Arial" w:hAnsi="Arial" w:cs="Arial"/>
          <w:b/>
          <w:sz w:val="22"/>
          <w:szCs w:val="22"/>
        </w:rPr>
        <w:t>Porcentaje de organizaciones encuestadas satisfechas con la gestión de los proyectos, respecto al total de organizaciones encuestadas en 2013 (producto – calidad).</w:t>
      </w:r>
    </w:p>
    <w:tbl>
      <w:tblPr>
        <w:tblStyle w:val="Tablaconcuadrcula"/>
        <w:tblW w:w="8613" w:type="dxa"/>
        <w:tblLayout w:type="fixed"/>
        <w:tblLook w:val="04A0" w:firstRow="1" w:lastRow="0" w:firstColumn="1" w:lastColumn="0" w:noHBand="0" w:noVBand="1"/>
      </w:tblPr>
      <w:tblGrid>
        <w:gridCol w:w="3652"/>
        <w:gridCol w:w="992"/>
        <w:gridCol w:w="1985"/>
        <w:gridCol w:w="1984"/>
      </w:tblGrid>
      <w:tr w:rsidR="001C47F2" w:rsidRPr="009B12FF" w:rsidTr="005E7634">
        <w:tc>
          <w:tcPr>
            <w:tcW w:w="3652" w:type="dxa"/>
            <w:vAlign w:val="center"/>
          </w:tcPr>
          <w:p w:rsidR="001C47F2" w:rsidRPr="009B12FF" w:rsidRDefault="001C47F2" w:rsidP="00FA66F6">
            <w:pPr>
              <w:jc w:val="center"/>
              <w:rPr>
                <w:rFonts w:ascii="Arial" w:hAnsi="Arial" w:cs="Arial"/>
                <w:b/>
                <w:sz w:val="22"/>
                <w:szCs w:val="22"/>
              </w:rPr>
            </w:pPr>
            <w:r w:rsidRPr="009B12FF">
              <w:rPr>
                <w:rFonts w:ascii="Arial" w:hAnsi="Arial" w:cs="Arial"/>
                <w:b/>
                <w:sz w:val="22"/>
                <w:szCs w:val="22"/>
              </w:rPr>
              <w:t>Fórmula del Indicador</w:t>
            </w:r>
          </w:p>
        </w:tc>
        <w:tc>
          <w:tcPr>
            <w:tcW w:w="992" w:type="dxa"/>
            <w:vAlign w:val="center"/>
          </w:tcPr>
          <w:p w:rsidR="001C47F2" w:rsidRPr="009B12FF" w:rsidRDefault="001C47F2" w:rsidP="00FA66F6">
            <w:pPr>
              <w:jc w:val="center"/>
              <w:rPr>
                <w:rFonts w:ascii="Arial" w:hAnsi="Arial" w:cs="Arial"/>
                <w:b/>
                <w:sz w:val="22"/>
                <w:szCs w:val="22"/>
              </w:rPr>
            </w:pPr>
            <w:r w:rsidRPr="009B12FF">
              <w:rPr>
                <w:rFonts w:ascii="Arial" w:hAnsi="Arial" w:cs="Arial"/>
                <w:b/>
                <w:sz w:val="22"/>
                <w:szCs w:val="22"/>
              </w:rPr>
              <w:t>Meta</w:t>
            </w:r>
          </w:p>
        </w:tc>
        <w:tc>
          <w:tcPr>
            <w:tcW w:w="1985" w:type="dxa"/>
            <w:vAlign w:val="center"/>
          </w:tcPr>
          <w:p w:rsidR="001C47F2" w:rsidRPr="009B12FF" w:rsidRDefault="001C47F2" w:rsidP="00FA66F6">
            <w:pPr>
              <w:jc w:val="center"/>
              <w:rPr>
                <w:rFonts w:ascii="Arial" w:hAnsi="Arial" w:cs="Arial"/>
                <w:b/>
                <w:sz w:val="22"/>
                <w:szCs w:val="22"/>
              </w:rPr>
            </w:pPr>
            <w:r w:rsidRPr="009B12FF">
              <w:rPr>
                <w:rFonts w:ascii="Arial" w:hAnsi="Arial" w:cs="Arial"/>
                <w:b/>
                <w:sz w:val="22"/>
                <w:szCs w:val="22"/>
              </w:rPr>
              <w:t>Real alcanzado</w:t>
            </w:r>
          </w:p>
        </w:tc>
        <w:tc>
          <w:tcPr>
            <w:tcW w:w="1984" w:type="dxa"/>
          </w:tcPr>
          <w:p w:rsidR="001C47F2" w:rsidRPr="009B12FF" w:rsidRDefault="001C47F2" w:rsidP="00FA66F6">
            <w:pPr>
              <w:jc w:val="center"/>
              <w:rPr>
                <w:rFonts w:ascii="Arial" w:hAnsi="Arial" w:cs="Arial"/>
                <w:b/>
                <w:sz w:val="22"/>
                <w:szCs w:val="22"/>
              </w:rPr>
            </w:pPr>
            <w:r w:rsidRPr="009B12FF">
              <w:rPr>
                <w:rFonts w:ascii="Arial" w:hAnsi="Arial" w:cs="Arial"/>
                <w:b/>
                <w:sz w:val="22"/>
                <w:szCs w:val="22"/>
              </w:rPr>
              <w:t>% Cumplimiento</w:t>
            </w:r>
          </w:p>
        </w:tc>
      </w:tr>
      <w:tr w:rsidR="001C47F2" w:rsidRPr="009B12FF" w:rsidTr="005E7634">
        <w:tc>
          <w:tcPr>
            <w:tcW w:w="3652" w:type="dxa"/>
            <w:vAlign w:val="center"/>
          </w:tcPr>
          <w:p w:rsidR="001C47F2" w:rsidRPr="009B12FF" w:rsidRDefault="001C47F2" w:rsidP="00FA66F6">
            <w:pPr>
              <w:rPr>
                <w:rFonts w:ascii="Arial" w:hAnsi="Arial" w:cs="Arial"/>
                <w:sz w:val="22"/>
                <w:szCs w:val="22"/>
                <w:lang w:val="es-ES"/>
              </w:rPr>
            </w:pPr>
            <w:r w:rsidRPr="009B12FF">
              <w:rPr>
                <w:rFonts w:ascii="Arial" w:hAnsi="Arial" w:cs="Arial"/>
                <w:sz w:val="22"/>
                <w:szCs w:val="22"/>
                <w:lang w:val="es-ES"/>
              </w:rPr>
              <w:t>(Organizaciones encuestadas satisfechas año x/Total de Organizaciones encuestadas año x</w:t>
            </w:r>
            <w:r w:rsidR="00086D68" w:rsidRPr="009B12FF">
              <w:rPr>
                <w:rFonts w:ascii="Arial" w:hAnsi="Arial" w:cs="Arial"/>
                <w:sz w:val="22"/>
                <w:szCs w:val="22"/>
                <w:lang w:val="es-ES"/>
              </w:rPr>
              <w:t>)*</w:t>
            </w:r>
            <w:r w:rsidRPr="009B12FF">
              <w:rPr>
                <w:rFonts w:ascii="Arial" w:hAnsi="Arial" w:cs="Arial"/>
                <w:sz w:val="22"/>
                <w:szCs w:val="22"/>
                <w:lang w:val="es-ES"/>
              </w:rPr>
              <w:t xml:space="preserve">100) </w:t>
            </w:r>
          </w:p>
        </w:tc>
        <w:tc>
          <w:tcPr>
            <w:tcW w:w="992" w:type="dxa"/>
            <w:vAlign w:val="center"/>
          </w:tcPr>
          <w:p w:rsidR="001C47F2" w:rsidRPr="009B12FF" w:rsidRDefault="001C47F2" w:rsidP="00FA66F6">
            <w:pPr>
              <w:jc w:val="center"/>
              <w:rPr>
                <w:rFonts w:ascii="Arial" w:hAnsi="Arial" w:cs="Arial"/>
                <w:sz w:val="22"/>
                <w:szCs w:val="22"/>
              </w:rPr>
            </w:pPr>
            <w:r w:rsidRPr="009B12FF">
              <w:rPr>
                <w:rFonts w:ascii="Arial" w:hAnsi="Arial" w:cs="Arial"/>
                <w:sz w:val="22"/>
                <w:szCs w:val="22"/>
              </w:rPr>
              <w:t>85%</w:t>
            </w:r>
          </w:p>
        </w:tc>
        <w:tc>
          <w:tcPr>
            <w:tcW w:w="1985" w:type="dxa"/>
            <w:vAlign w:val="center"/>
          </w:tcPr>
          <w:p w:rsidR="001C47F2" w:rsidRPr="009B12FF" w:rsidRDefault="001C47F2" w:rsidP="00FA66F6">
            <w:pPr>
              <w:jc w:val="center"/>
              <w:rPr>
                <w:rFonts w:ascii="Arial" w:hAnsi="Arial" w:cs="Arial"/>
                <w:sz w:val="22"/>
                <w:szCs w:val="22"/>
              </w:rPr>
            </w:pPr>
            <w:r w:rsidRPr="009B12FF">
              <w:rPr>
                <w:rFonts w:ascii="Arial" w:hAnsi="Arial" w:cs="Arial"/>
                <w:sz w:val="22"/>
                <w:szCs w:val="22"/>
              </w:rPr>
              <w:t>94.02%</w:t>
            </w:r>
          </w:p>
        </w:tc>
        <w:tc>
          <w:tcPr>
            <w:tcW w:w="1984" w:type="dxa"/>
            <w:vAlign w:val="center"/>
          </w:tcPr>
          <w:p w:rsidR="001C47F2" w:rsidRPr="009B12FF" w:rsidRDefault="001C47F2" w:rsidP="00FA66F6">
            <w:pPr>
              <w:jc w:val="center"/>
              <w:rPr>
                <w:rFonts w:ascii="Arial" w:hAnsi="Arial" w:cs="Arial"/>
                <w:sz w:val="22"/>
                <w:szCs w:val="22"/>
              </w:rPr>
            </w:pPr>
            <w:r w:rsidRPr="009B12FF">
              <w:rPr>
                <w:rFonts w:ascii="Arial" w:hAnsi="Arial" w:cs="Arial"/>
                <w:sz w:val="22"/>
                <w:szCs w:val="22"/>
              </w:rPr>
              <w:t>110.61%</w:t>
            </w:r>
          </w:p>
        </w:tc>
      </w:tr>
    </w:tbl>
    <w:p w:rsidR="009D309C" w:rsidRPr="009B12FF" w:rsidRDefault="009D309C" w:rsidP="00FA66F6">
      <w:pPr>
        <w:jc w:val="both"/>
        <w:rPr>
          <w:rFonts w:ascii="Arial" w:hAnsi="Arial" w:cs="Arial"/>
          <w:sz w:val="22"/>
          <w:szCs w:val="22"/>
        </w:rPr>
      </w:pPr>
    </w:p>
    <w:p w:rsidR="001C47F2" w:rsidRPr="009B12FF" w:rsidRDefault="001C47F2" w:rsidP="00FA66F6">
      <w:pPr>
        <w:jc w:val="both"/>
        <w:rPr>
          <w:rFonts w:ascii="Arial" w:hAnsi="Arial" w:cs="Arial"/>
          <w:sz w:val="22"/>
          <w:szCs w:val="22"/>
        </w:rPr>
      </w:pPr>
      <w:r w:rsidRPr="009B12FF">
        <w:rPr>
          <w:rFonts w:ascii="Arial" w:hAnsi="Arial" w:cs="Arial"/>
          <w:sz w:val="22"/>
          <w:szCs w:val="22"/>
        </w:rPr>
        <w:t>Para este indicador se proyectó un desempeño del 85%, logrando un cumplimiento del 110.61%, por encima de lo esperado,  sobre el resultado de las encuestas que se programaron, por lo que al segundo semestre se logra la meta planteada, de las 552 encuestas realizadas el 94.02% manifiesta satisfacción con la gestión de los proyectos.</w:t>
      </w:r>
    </w:p>
    <w:p w:rsidR="001C47F2" w:rsidRPr="009B12FF" w:rsidRDefault="001C47F2" w:rsidP="00FA66F6">
      <w:pPr>
        <w:jc w:val="both"/>
        <w:rPr>
          <w:rFonts w:ascii="Arial" w:hAnsi="Arial" w:cs="Arial"/>
          <w:sz w:val="22"/>
          <w:szCs w:val="22"/>
        </w:rPr>
      </w:pPr>
    </w:p>
    <w:p w:rsidR="001C47F2" w:rsidRPr="009B12FF" w:rsidRDefault="001C47F2" w:rsidP="00FA66F6">
      <w:pPr>
        <w:jc w:val="both"/>
        <w:rPr>
          <w:rFonts w:ascii="Arial" w:hAnsi="Arial" w:cs="Arial"/>
          <w:b/>
          <w:sz w:val="22"/>
          <w:szCs w:val="22"/>
        </w:rPr>
      </w:pPr>
      <w:r w:rsidRPr="009B12FF">
        <w:rPr>
          <w:rFonts w:ascii="Arial" w:hAnsi="Arial" w:cs="Arial"/>
          <w:b/>
          <w:sz w:val="22"/>
          <w:szCs w:val="22"/>
        </w:rPr>
        <w:t>Aspectos positivos internos</w:t>
      </w:r>
    </w:p>
    <w:p w:rsidR="00FA2EAA" w:rsidRPr="009B12FF" w:rsidRDefault="00FA2EAA" w:rsidP="00FA66F6">
      <w:pPr>
        <w:jc w:val="both"/>
        <w:rPr>
          <w:rFonts w:ascii="Arial" w:hAnsi="Arial" w:cs="Arial"/>
          <w:b/>
          <w:sz w:val="22"/>
          <w:szCs w:val="22"/>
        </w:rPr>
      </w:pPr>
    </w:p>
    <w:p w:rsidR="001C47F2" w:rsidRPr="009B12FF" w:rsidRDefault="001C47F2" w:rsidP="00FA66F6">
      <w:pPr>
        <w:jc w:val="both"/>
        <w:rPr>
          <w:rFonts w:ascii="Arial" w:hAnsi="Arial" w:cs="Arial"/>
          <w:sz w:val="22"/>
          <w:szCs w:val="22"/>
        </w:rPr>
      </w:pPr>
      <w:r w:rsidRPr="009B12FF">
        <w:rPr>
          <w:rFonts w:ascii="Arial" w:hAnsi="Arial" w:cs="Arial"/>
          <w:sz w:val="22"/>
          <w:szCs w:val="22"/>
        </w:rPr>
        <w:t>Con fundamento en la última modificación al Manual de Criterios para la distribución de recursos, Ley No. 8718, en procura de agilizar  el trámite de asignación de recursos y brindar una atención más expedita a las solicitudes que presentan las organizaciones de bienestar social,  durante el período 2013, la Junta de Protección Social está atendiendo algunas de las solicitudes bajo  la modalidad de atención denominada “Programa de atención de necesidades específicas a entidades inscritas en apoyo a la gestión”. Mediante esta modalidad se apoya a las entidades con recursos previamente destinados para la atención de proyectos,  para  que puedan atender de manera ágil y oportuna sus necesidades específicamente en los rubros de reposición y adquisición de mobiliario, equipo, reparaciones y remodelaciones menores, material didáctico entre otros.</w:t>
      </w:r>
    </w:p>
    <w:p w:rsidR="001C47F2" w:rsidRPr="009B12FF" w:rsidRDefault="001C47F2" w:rsidP="00FA66F6">
      <w:pPr>
        <w:jc w:val="both"/>
        <w:rPr>
          <w:rFonts w:ascii="Arial" w:hAnsi="Arial" w:cs="Arial"/>
          <w:sz w:val="22"/>
          <w:szCs w:val="22"/>
        </w:rPr>
      </w:pPr>
      <w:r w:rsidRPr="009B12FF">
        <w:rPr>
          <w:rFonts w:ascii="Arial" w:hAnsi="Arial" w:cs="Arial"/>
          <w:sz w:val="22"/>
          <w:szCs w:val="22"/>
        </w:rPr>
        <w:t>En el primer semestre 2013 la Junta de Protección Social, enfocó su gestión en atender, simultáneamente, los proyectos  recibidos en el 2013, más  las solicitudes que habían sido aprobadas a finales del período 2012 por la Junta Directiva.  Se logra el nombramiento de un  ingeniero civil  en forma permanente con el fin de dar soporte a la gestión de proyectos constructivos.</w:t>
      </w:r>
    </w:p>
    <w:p w:rsidR="001C47F2" w:rsidRPr="009B12FF" w:rsidRDefault="001C47F2" w:rsidP="00FA66F6">
      <w:pPr>
        <w:jc w:val="both"/>
        <w:rPr>
          <w:rFonts w:ascii="Arial" w:hAnsi="Arial" w:cs="Arial"/>
          <w:sz w:val="22"/>
          <w:szCs w:val="22"/>
        </w:rPr>
      </w:pPr>
    </w:p>
    <w:p w:rsidR="001C47F2" w:rsidRPr="009B12FF" w:rsidRDefault="001C47F2" w:rsidP="00FA66F6">
      <w:pPr>
        <w:jc w:val="both"/>
        <w:rPr>
          <w:rFonts w:ascii="Arial" w:hAnsi="Arial" w:cs="Arial"/>
          <w:b/>
          <w:sz w:val="22"/>
          <w:szCs w:val="22"/>
        </w:rPr>
      </w:pPr>
      <w:r w:rsidRPr="009B12FF">
        <w:rPr>
          <w:rFonts w:ascii="Arial" w:hAnsi="Arial" w:cs="Arial"/>
          <w:b/>
          <w:sz w:val="22"/>
          <w:szCs w:val="22"/>
        </w:rPr>
        <w:t>Aspectos positivos externos</w:t>
      </w:r>
    </w:p>
    <w:p w:rsidR="00FA2EAA" w:rsidRPr="009B12FF" w:rsidRDefault="00FA2EAA" w:rsidP="00FA66F6">
      <w:pPr>
        <w:jc w:val="both"/>
        <w:rPr>
          <w:rFonts w:ascii="Arial" w:hAnsi="Arial" w:cs="Arial"/>
          <w:b/>
          <w:sz w:val="22"/>
          <w:szCs w:val="22"/>
        </w:rPr>
      </w:pPr>
    </w:p>
    <w:p w:rsidR="001C47F2" w:rsidRPr="009B12FF" w:rsidRDefault="001C47F2" w:rsidP="00FA66F6">
      <w:pPr>
        <w:jc w:val="both"/>
        <w:rPr>
          <w:rFonts w:ascii="Arial" w:hAnsi="Arial" w:cs="Arial"/>
          <w:sz w:val="22"/>
          <w:szCs w:val="22"/>
        </w:rPr>
      </w:pPr>
      <w:r w:rsidRPr="009B12FF">
        <w:rPr>
          <w:rFonts w:ascii="Arial" w:hAnsi="Arial" w:cs="Arial"/>
          <w:sz w:val="22"/>
          <w:szCs w:val="22"/>
        </w:rPr>
        <w:t xml:space="preserve">Coordinación  con el Ente Rector de cada una de las áreas,  para  el establecimiento de las prioridades para la atención de proyectos.  Este aspecto permite a la Institución contar con criterios técnicos para el análisis de las solicitudes, en concordancia con los lineamientos y políticas de cada una de las áreas. </w:t>
      </w:r>
    </w:p>
    <w:p w:rsidR="001C47F2" w:rsidRPr="009B12FF" w:rsidRDefault="001C47F2" w:rsidP="00FA66F6">
      <w:pPr>
        <w:jc w:val="both"/>
        <w:rPr>
          <w:rFonts w:ascii="Arial" w:hAnsi="Arial" w:cs="Arial"/>
          <w:sz w:val="22"/>
          <w:szCs w:val="22"/>
        </w:rPr>
      </w:pPr>
    </w:p>
    <w:p w:rsidR="001C47F2" w:rsidRPr="009B12FF" w:rsidRDefault="001C47F2" w:rsidP="00FA66F6">
      <w:pPr>
        <w:jc w:val="both"/>
        <w:rPr>
          <w:rFonts w:ascii="Arial" w:hAnsi="Arial" w:cs="Arial"/>
          <w:sz w:val="22"/>
          <w:szCs w:val="22"/>
        </w:rPr>
      </w:pPr>
      <w:r w:rsidRPr="009B12FF">
        <w:rPr>
          <w:rFonts w:ascii="Arial" w:hAnsi="Arial" w:cs="Arial"/>
          <w:sz w:val="22"/>
          <w:szCs w:val="22"/>
        </w:rPr>
        <w:t>Con la autorización del traslado de plazas a cargos fijos, la atención de los proyectos se realizó en forma más ágil en beneficio del proceso de aprobación de los mismos. También las organizaciones beneficiarias,  han venido mejorando su  capacidad de gestión, lo cual les permite acceder  a la transferencia de los recursos y continuar brindando el servicio a su población meta.</w:t>
      </w:r>
    </w:p>
    <w:p w:rsidR="001C47F2" w:rsidRPr="009B12FF" w:rsidRDefault="001C47F2" w:rsidP="00FA66F6">
      <w:pPr>
        <w:jc w:val="both"/>
        <w:rPr>
          <w:rFonts w:ascii="Arial" w:hAnsi="Arial" w:cs="Arial"/>
          <w:b/>
          <w:sz w:val="22"/>
          <w:szCs w:val="22"/>
        </w:rPr>
      </w:pPr>
    </w:p>
    <w:p w:rsidR="001C47F2" w:rsidRPr="009B12FF" w:rsidRDefault="001C47F2" w:rsidP="00FA66F6">
      <w:pPr>
        <w:jc w:val="both"/>
        <w:rPr>
          <w:rFonts w:ascii="Arial" w:hAnsi="Arial" w:cs="Arial"/>
          <w:b/>
          <w:sz w:val="22"/>
          <w:szCs w:val="22"/>
        </w:rPr>
      </w:pPr>
      <w:r w:rsidRPr="009B12FF">
        <w:rPr>
          <w:rFonts w:ascii="Arial" w:hAnsi="Arial" w:cs="Arial"/>
          <w:b/>
          <w:sz w:val="22"/>
          <w:szCs w:val="22"/>
        </w:rPr>
        <w:t>Cómo repercutió en l</w:t>
      </w:r>
      <w:r w:rsidR="004D3D96" w:rsidRPr="009B12FF">
        <w:rPr>
          <w:rFonts w:ascii="Arial" w:hAnsi="Arial" w:cs="Arial"/>
          <w:b/>
          <w:sz w:val="22"/>
          <w:szCs w:val="22"/>
        </w:rPr>
        <w:t>a entrega de bienes y servicios.</w:t>
      </w:r>
    </w:p>
    <w:p w:rsidR="00FA2EAA" w:rsidRPr="009B12FF" w:rsidRDefault="00FA2EAA" w:rsidP="00FA66F6">
      <w:pPr>
        <w:jc w:val="both"/>
        <w:rPr>
          <w:rFonts w:ascii="Arial" w:hAnsi="Arial" w:cs="Arial"/>
          <w:b/>
          <w:sz w:val="22"/>
          <w:szCs w:val="22"/>
        </w:rPr>
      </w:pPr>
    </w:p>
    <w:p w:rsidR="001C47F2" w:rsidRPr="009B12FF" w:rsidRDefault="001C47F2" w:rsidP="00FA66F6">
      <w:pPr>
        <w:jc w:val="both"/>
        <w:rPr>
          <w:rFonts w:ascii="Arial" w:hAnsi="Arial" w:cs="Arial"/>
          <w:sz w:val="22"/>
          <w:szCs w:val="22"/>
        </w:rPr>
      </w:pPr>
      <w:r w:rsidRPr="009B12FF">
        <w:rPr>
          <w:rFonts w:ascii="Arial" w:hAnsi="Arial" w:cs="Arial"/>
          <w:sz w:val="22"/>
          <w:szCs w:val="22"/>
        </w:rPr>
        <w:t xml:space="preserve">La entrega de los recursos por proyectos incidió positivamente en la atención de los beneficiarios de las diferentes áreas coordinadas, con el mejoramiento de los tiempos en los trámites de los proyectos a 8 meses con el fin de que los beneficiarios obtengan condiciones de vida más óptimas en menor tiempo posible desde la fecha de presentación de la solicitud del proyecto. </w:t>
      </w:r>
    </w:p>
    <w:p w:rsidR="001C47F2" w:rsidRPr="009B12FF" w:rsidRDefault="001C47F2" w:rsidP="00FA66F6">
      <w:pPr>
        <w:rPr>
          <w:rFonts w:ascii="Arial" w:hAnsi="Arial" w:cs="Arial"/>
          <w:b/>
          <w:sz w:val="22"/>
          <w:szCs w:val="22"/>
          <w:u w:val="single"/>
        </w:rPr>
      </w:pPr>
    </w:p>
    <w:p w:rsidR="00A056AC" w:rsidRPr="009B12FF" w:rsidRDefault="00A056AC" w:rsidP="00FA66F6">
      <w:pPr>
        <w:rPr>
          <w:rFonts w:ascii="Arial" w:hAnsi="Arial" w:cs="Arial"/>
          <w:b/>
          <w:sz w:val="22"/>
          <w:szCs w:val="22"/>
        </w:rPr>
      </w:pPr>
      <w:r w:rsidRPr="009B12FF">
        <w:rPr>
          <w:rFonts w:ascii="Arial" w:hAnsi="Arial" w:cs="Arial"/>
          <w:b/>
          <w:sz w:val="22"/>
          <w:szCs w:val="22"/>
        </w:rPr>
        <w:t>Indicador 6</w:t>
      </w:r>
    </w:p>
    <w:p w:rsidR="00A056AC" w:rsidRPr="009B12FF" w:rsidRDefault="00A056AC" w:rsidP="00FA66F6">
      <w:pPr>
        <w:ind w:left="360"/>
        <w:jc w:val="both"/>
        <w:rPr>
          <w:rFonts w:ascii="Arial" w:hAnsi="Arial" w:cs="Arial"/>
          <w:b/>
          <w:sz w:val="22"/>
          <w:szCs w:val="22"/>
        </w:rPr>
      </w:pPr>
      <w:r w:rsidRPr="009B12FF">
        <w:rPr>
          <w:rFonts w:ascii="Arial" w:hAnsi="Arial" w:cs="Arial"/>
          <w:b/>
          <w:sz w:val="22"/>
          <w:szCs w:val="22"/>
        </w:rPr>
        <w:t>Porcentaje de recursos transferidos para dotación de Ayudas Técnicas respecto del porcentaje de utilidades disponibles de los meses de enero a diciembre 201</w:t>
      </w:r>
      <w:r w:rsidR="005E7634" w:rsidRPr="009B12FF">
        <w:rPr>
          <w:rFonts w:ascii="Arial" w:hAnsi="Arial" w:cs="Arial"/>
          <w:b/>
          <w:sz w:val="22"/>
          <w:szCs w:val="22"/>
        </w:rPr>
        <w:t>3</w:t>
      </w:r>
      <w:r w:rsidRPr="009B12FF">
        <w:rPr>
          <w:rFonts w:ascii="Arial" w:hAnsi="Arial" w:cs="Arial"/>
          <w:b/>
          <w:sz w:val="22"/>
          <w:szCs w:val="22"/>
        </w:rPr>
        <w:t xml:space="preserve"> para Ayudas Técnicas durante el período 2013 (producto – eficacia).</w:t>
      </w:r>
    </w:p>
    <w:tbl>
      <w:tblPr>
        <w:tblStyle w:val="Tablaconcuadrcula"/>
        <w:tblW w:w="8755" w:type="dxa"/>
        <w:tblLayout w:type="fixed"/>
        <w:tblLook w:val="04A0" w:firstRow="1" w:lastRow="0" w:firstColumn="1" w:lastColumn="0" w:noHBand="0" w:noVBand="1"/>
      </w:tblPr>
      <w:tblGrid>
        <w:gridCol w:w="4644"/>
        <w:gridCol w:w="851"/>
        <w:gridCol w:w="1417"/>
        <w:gridCol w:w="1843"/>
      </w:tblGrid>
      <w:tr w:rsidR="00A056AC" w:rsidRPr="009B12FF" w:rsidTr="00F05C1C">
        <w:trPr>
          <w:trHeight w:val="595"/>
        </w:trPr>
        <w:tc>
          <w:tcPr>
            <w:tcW w:w="4644" w:type="dxa"/>
            <w:vAlign w:val="center"/>
          </w:tcPr>
          <w:p w:rsidR="00A056AC" w:rsidRPr="009B12FF" w:rsidRDefault="00A056AC" w:rsidP="00FA66F6">
            <w:pPr>
              <w:jc w:val="center"/>
              <w:rPr>
                <w:rFonts w:ascii="Arial" w:hAnsi="Arial" w:cs="Arial"/>
                <w:b/>
                <w:sz w:val="22"/>
                <w:szCs w:val="22"/>
              </w:rPr>
            </w:pPr>
            <w:r w:rsidRPr="009B12FF">
              <w:rPr>
                <w:rFonts w:ascii="Arial" w:hAnsi="Arial" w:cs="Arial"/>
                <w:b/>
                <w:sz w:val="22"/>
                <w:szCs w:val="22"/>
              </w:rPr>
              <w:t>Fórmula del Indicador</w:t>
            </w:r>
          </w:p>
        </w:tc>
        <w:tc>
          <w:tcPr>
            <w:tcW w:w="851" w:type="dxa"/>
            <w:vAlign w:val="center"/>
          </w:tcPr>
          <w:p w:rsidR="00A056AC" w:rsidRPr="009B12FF" w:rsidRDefault="00A056AC" w:rsidP="00FA66F6">
            <w:pPr>
              <w:jc w:val="center"/>
              <w:rPr>
                <w:rFonts w:ascii="Arial" w:hAnsi="Arial" w:cs="Arial"/>
                <w:b/>
                <w:sz w:val="22"/>
                <w:szCs w:val="22"/>
              </w:rPr>
            </w:pPr>
            <w:r w:rsidRPr="009B12FF">
              <w:rPr>
                <w:rFonts w:ascii="Arial" w:hAnsi="Arial" w:cs="Arial"/>
                <w:b/>
                <w:sz w:val="22"/>
                <w:szCs w:val="22"/>
              </w:rPr>
              <w:t>Meta</w:t>
            </w:r>
          </w:p>
        </w:tc>
        <w:tc>
          <w:tcPr>
            <w:tcW w:w="1417" w:type="dxa"/>
            <w:vAlign w:val="center"/>
          </w:tcPr>
          <w:p w:rsidR="00A056AC" w:rsidRPr="009B12FF" w:rsidRDefault="00A056AC" w:rsidP="00FA66F6">
            <w:pPr>
              <w:jc w:val="center"/>
              <w:rPr>
                <w:rFonts w:ascii="Arial" w:hAnsi="Arial" w:cs="Arial"/>
                <w:b/>
                <w:sz w:val="22"/>
                <w:szCs w:val="22"/>
              </w:rPr>
            </w:pPr>
            <w:r w:rsidRPr="009B12FF">
              <w:rPr>
                <w:rFonts w:ascii="Arial" w:hAnsi="Arial" w:cs="Arial"/>
                <w:b/>
                <w:sz w:val="22"/>
                <w:szCs w:val="22"/>
              </w:rPr>
              <w:t>Real alcanzado</w:t>
            </w:r>
          </w:p>
        </w:tc>
        <w:tc>
          <w:tcPr>
            <w:tcW w:w="1843" w:type="dxa"/>
          </w:tcPr>
          <w:p w:rsidR="00A056AC" w:rsidRPr="009B12FF" w:rsidRDefault="00A056AC" w:rsidP="00FA66F6">
            <w:pPr>
              <w:jc w:val="center"/>
              <w:rPr>
                <w:rFonts w:ascii="Arial" w:hAnsi="Arial" w:cs="Arial"/>
                <w:b/>
                <w:sz w:val="22"/>
                <w:szCs w:val="22"/>
              </w:rPr>
            </w:pPr>
            <w:r w:rsidRPr="009B12FF">
              <w:rPr>
                <w:rFonts w:ascii="Arial" w:hAnsi="Arial" w:cs="Arial"/>
                <w:b/>
                <w:sz w:val="22"/>
                <w:szCs w:val="22"/>
              </w:rPr>
              <w:t>% Cumplimiento</w:t>
            </w:r>
          </w:p>
        </w:tc>
      </w:tr>
      <w:tr w:rsidR="00164918" w:rsidRPr="00164918" w:rsidTr="00F05C1C">
        <w:trPr>
          <w:trHeight w:val="595"/>
        </w:trPr>
        <w:tc>
          <w:tcPr>
            <w:tcW w:w="4644" w:type="dxa"/>
            <w:vAlign w:val="center"/>
          </w:tcPr>
          <w:p w:rsidR="00A056AC" w:rsidRPr="00B05E2C" w:rsidRDefault="00A056AC" w:rsidP="00FA66F6">
            <w:pPr>
              <w:rPr>
                <w:rFonts w:ascii="Arial" w:hAnsi="Arial" w:cs="Arial"/>
                <w:sz w:val="22"/>
                <w:szCs w:val="22"/>
                <w:lang w:val="es-ES"/>
              </w:rPr>
            </w:pPr>
            <w:r w:rsidRPr="00B05E2C">
              <w:rPr>
                <w:rFonts w:ascii="Arial" w:hAnsi="Arial" w:cs="Arial"/>
                <w:sz w:val="22"/>
                <w:szCs w:val="22"/>
                <w:lang w:val="es-ES"/>
              </w:rPr>
              <w:t>(Recursos transferidos para Ayudas Técnicas año x / respecto al porcentaje de utilidades disponibles en los meses de enero a diciembre, 2</w:t>
            </w:r>
            <w:r w:rsidR="00F05C1C" w:rsidRPr="00B05E2C">
              <w:rPr>
                <w:rFonts w:ascii="Arial" w:hAnsi="Arial" w:cs="Arial"/>
                <w:sz w:val="22"/>
                <w:szCs w:val="22"/>
                <w:lang w:val="es-ES"/>
              </w:rPr>
              <w:t>013 para Ayudas Técnicas año x)*</w:t>
            </w:r>
            <w:r w:rsidRPr="00B05E2C">
              <w:rPr>
                <w:rFonts w:ascii="Arial" w:hAnsi="Arial" w:cs="Arial"/>
                <w:sz w:val="22"/>
                <w:szCs w:val="22"/>
                <w:lang w:val="es-ES"/>
              </w:rPr>
              <w:t>100</w:t>
            </w:r>
          </w:p>
        </w:tc>
        <w:tc>
          <w:tcPr>
            <w:tcW w:w="851" w:type="dxa"/>
            <w:vAlign w:val="center"/>
          </w:tcPr>
          <w:p w:rsidR="00A056AC" w:rsidRPr="00B05E2C" w:rsidRDefault="00B05E2C" w:rsidP="00FA66F6">
            <w:pPr>
              <w:jc w:val="center"/>
              <w:rPr>
                <w:rFonts w:ascii="Arial" w:hAnsi="Arial" w:cs="Arial"/>
                <w:sz w:val="22"/>
                <w:szCs w:val="22"/>
              </w:rPr>
            </w:pPr>
            <w:r w:rsidRPr="00B05E2C">
              <w:rPr>
                <w:rFonts w:ascii="Arial" w:hAnsi="Arial" w:cs="Arial"/>
                <w:sz w:val="22"/>
                <w:szCs w:val="22"/>
              </w:rPr>
              <w:t>80</w:t>
            </w:r>
            <w:r w:rsidR="00A056AC" w:rsidRPr="00B05E2C">
              <w:rPr>
                <w:rFonts w:ascii="Arial" w:hAnsi="Arial" w:cs="Arial"/>
                <w:sz w:val="22"/>
                <w:szCs w:val="22"/>
              </w:rPr>
              <w:t>%</w:t>
            </w:r>
          </w:p>
        </w:tc>
        <w:tc>
          <w:tcPr>
            <w:tcW w:w="1417" w:type="dxa"/>
            <w:vAlign w:val="center"/>
          </w:tcPr>
          <w:p w:rsidR="00A056AC" w:rsidRPr="00B05E2C" w:rsidRDefault="00A056AC" w:rsidP="00FA66F6">
            <w:pPr>
              <w:jc w:val="center"/>
              <w:rPr>
                <w:rFonts w:ascii="Arial" w:hAnsi="Arial" w:cs="Arial"/>
                <w:sz w:val="22"/>
                <w:szCs w:val="22"/>
              </w:rPr>
            </w:pPr>
            <w:r w:rsidRPr="00B05E2C">
              <w:rPr>
                <w:rFonts w:ascii="Arial" w:hAnsi="Arial" w:cs="Arial"/>
                <w:sz w:val="22"/>
                <w:szCs w:val="22"/>
              </w:rPr>
              <w:t>82,53%</w:t>
            </w:r>
          </w:p>
        </w:tc>
        <w:tc>
          <w:tcPr>
            <w:tcW w:w="1843" w:type="dxa"/>
            <w:vAlign w:val="center"/>
          </w:tcPr>
          <w:p w:rsidR="00A056AC" w:rsidRDefault="00A056AC" w:rsidP="00FA66F6">
            <w:pPr>
              <w:jc w:val="center"/>
              <w:rPr>
                <w:rFonts w:ascii="Arial" w:hAnsi="Arial" w:cs="Arial"/>
                <w:sz w:val="22"/>
                <w:szCs w:val="22"/>
              </w:rPr>
            </w:pPr>
            <w:r w:rsidRPr="00B05E2C">
              <w:rPr>
                <w:rFonts w:ascii="Arial" w:hAnsi="Arial" w:cs="Arial"/>
                <w:sz w:val="22"/>
                <w:szCs w:val="22"/>
              </w:rPr>
              <w:t>103,16%%</w:t>
            </w:r>
          </w:p>
          <w:p w:rsidR="00164918" w:rsidRPr="00164918" w:rsidRDefault="00164918" w:rsidP="00FA66F6">
            <w:pPr>
              <w:jc w:val="center"/>
              <w:rPr>
                <w:rFonts w:ascii="Arial" w:hAnsi="Arial" w:cs="Arial"/>
                <w:sz w:val="22"/>
                <w:szCs w:val="22"/>
              </w:rPr>
            </w:pPr>
          </w:p>
        </w:tc>
      </w:tr>
    </w:tbl>
    <w:p w:rsidR="00A056AC" w:rsidRPr="009B12FF" w:rsidRDefault="00A056AC" w:rsidP="00FA66F6">
      <w:pPr>
        <w:rPr>
          <w:rFonts w:ascii="Arial" w:hAnsi="Arial" w:cs="Arial"/>
          <w:sz w:val="22"/>
          <w:szCs w:val="22"/>
        </w:rPr>
      </w:pPr>
    </w:p>
    <w:p w:rsidR="00A056AC" w:rsidRPr="009B12FF" w:rsidRDefault="00A056AC" w:rsidP="00FA66F6">
      <w:pPr>
        <w:jc w:val="both"/>
        <w:rPr>
          <w:rFonts w:ascii="Arial" w:hAnsi="Arial" w:cs="Arial"/>
          <w:sz w:val="22"/>
          <w:szCs w:val="22"/>
        </w:rPr>
      </w:pPr>
      <w:r w:rsidRPr="009B12FF">
        <w:rPr>
          <w:rFonts w:ascii="Arial" w:hAnsi="Arial" w:cs="Arial"/>
          <w:sz w:val="22"/>
          <w:szCs w:val="22"/>
        </w:rPr>
        <w:t xml:space="preserve">Para este indicador se proyectó un cumplimiento del </w:t>
      </w:r>
      <w:r w:rsidR="00B05E2C" w:rsidRPr="00B05E2C">
        <w:rPr>
          <w:rFonts w:ascii="Arial" w:hAnsi="Arial" w:cs="Arial"/>
          <w:sz w:val="22"/>
          <w:szCs w:val="22"/>
        </w:rPr>
        <w:t>80</w:t>
      </w:r>
      <w:r w:rsidRPr="00B05E2C">
        <w:rPr>
          <w:rFonts w:ascii="Arial" w:hAnsi="Arial" w:cs="Arial"/>
          <w:sz w:val="22"/>
          <w:szCs w:val="22"/>
        </w:rPr>
        <w:t>%</w:t>
      </w:r>
      <w:r w:rsidRPr="009B12FF">
        <w:rPr>
          <w:rFonts w:ascii="Arial" w:hAnsi="Arial" w:cs="Arial"/>
          <w:sz w:val="22"/>
          <w:szCs w:val="22"/>
        </w:rPr>
        <w:t xml:space="preserve"> de las utilidades disponible para el año, tomando en consideración las utilidades proyectadas para Ayudas Técnicas corresponde a ¢443.304.392 del “Sistema de Liquidación – Proyección”, cuyo monto debe de considerarse como la variable final para su respectiva medición. </w:t>
      </w:r>
    </w:p>
    <w:p w:rsidR="00A056AC" w:rsidRPr="009B12FF" w:rsidRDefault="00A056AC" w:rsidP="00FA66F6">
      <w:pPr>
        <w:jc w:val="both"/>
        <w:rPr>
          <w:rFonts w:ascii="Arial" w:hAnsi="Arial" w:cs="Arial"/>
          <w:sz w:val="22"/>
          <w:szCs w:val="22"/>
        </w:rPr>
      </w:pPr>
    </w:p>
    <w:p w:rsidR="00A056AC" w:rsidRPr="009B12FF" w:rsidRDefault="00A056AC" w:rsidP="00FA66F6">
      <w:pPr>
        <w:jc w:val="both"/>
        <w:rPr>
          <w:rFonts w:ascii="Arial" w:hAnsi="Arial" w:cs="Arial"/>
          <w:sz w:val="22"/>
          <w:szCs w:val="22"/>
        </w:rPr>
      </w:pPr>
      <w:r w:rsidRPr="009B12FF">
        <w:rPr>
          <w:rFonts w:ascii="Arial" w:hAnsi="Arial" w:cs="Arial"/>
          <w:sz w:val="22"/>
          <w:szCs w:val="22"/>
        </w:rPr>
        <w:t>El porcentaje de cumplimi</w:t>
      </w:r>
      <w:r w:rsidR="00F05C1C" w:rsidRPr="009B12FF">
        <w:rPr>
          <w:rFonts w:ascii="Arial" w:hAnsi="Arial" w:cs="Arial"/>
          <w:sz w:val="22"/>
          <w:szCs w:val="22"/>
        </w:rPr>
        <w:t xml:space="preserve">ento de la meta anual alcanzó </w:t>
      </w:r>
      <w:r w:rsidR="00F05C1C" w:rsidRPr="00B05E2C">
        <w:rPr>
          <w:rFonts w:ascii="Arial" w:hAnsi="Arial" w:cs="Arial"/>
          <w:sz w:val="22"/>
          <w:szCs w:val="22"/>
        </w:rPr>
        <w:t xml:space="preserve">el </w:t>
      </w:r>
      <w:r w:rsidRPr="00B05E2C">
        <w:rPr>
          <w:rFonts w:ascii="Arial" w:hAnsi="Arial" w:cs="Arial"/>
          <w:sz w:val="22"/>
          <w:szCs w:val="22"/>
        </w:rPr>
        <w:t>103.16%,</w:t>
      </w:r>
      <w:r w:rsidRPr="009B12FF">
        <w:rPr>
          <w:rFonts w:ascii="Arial" w:hAnsi="Arial" w:cs="Arial"/>
          <w:sz w:val="22"/>
          <w:szCs w:val="22"/>
        </w:rPr>
        <w:t xml:space="preserve"> el monto total transferido para el programa de ayudas técnicas al finalizar el año asciende a ¢365.850.931  de los recursos distribuidos efectivamente.</w:t>
      </w:r>
    </w:p>
    <w:p w:rsidR="00A056AC" w:rsidRPr="009B12FF" w:rsidRDefault="00A056AC" w:rsidP="00FA66F6">
      <w:pPr>
        <w:jc w:val="both"/>
        <w:rPr>
          <w:rFonts w:ascii="Arial" w:hAnsi="Arial" w:cs="Arial"/>
          <w:sz w:val="22"/>
          <w:szCs w:val="22"/>
        </w:rPr>
      </w:pPr>
    </w:p>
    <w:p w:rsidR="009D309C" w:rsidRPr="009B12FF" w:rsidRDefault="009D309C" w:rsidP="00FA66F6">
      <w:pPr>
        <w:jc w:val="both"/>
        <w:rPr>
          <w:rFonts w:ascii="Arial" w:hAnsi="Arial" w:cs="Arial"/>
          <w:sz w:val="22"/>
          <w:szCs w:val="22"/>
        </w:rPr>
      </w:pPr>
    </w:p>
    <w:p w:rsidR="00A056AC" w:rsidRPr="009B12FF" w:rsidRDefault="00A056AC" w:rsidP="00FA66F6">
      <w:pPr>
        <w:jc w:val="both"/>
        <w:rPr>
          <w:rFonts w:ascii="Arial" w:hAnsi="Arial" w:cs="Arial"/>
          <w:sz w:val="22"/>
          <w:szCs w:val="22"/>
        </w:rPr>
      </w:pPr>
      <w:r w:rsidRPr="009B12FF">
        <w:rPr>
          <w:rFonts w:ascii="Arial" w:hAnsi="Arial" w:cs="Arial"/>
          <w:sz w:val="22"/>
          <w:szCs w:val="22"/>
        </w:rPr>
        <w:t xml:space="preserve">Se considera la ubicación de este indicador en la categoría de </w:t>
      </w:r>
      <w:r w:rsidR="00006823">
        <w:rPr>
          <w:rFonts w:ascii="Arial" w:hAnsi="Arial" w:cs="Arial"/>
          <w:sz w:val="22"/>
          <w:szCs w:val="22"/>
        </w:rPr>
        <w:t>meta cumplida</w:t>
      </w:r>
      <w:r w:rsidRPr="009B12FF">
        <w:rPr>
          <w:rFonts w:ascii="Arial" w:hAnsi="Arial" w:cs="Arial"/>
          <w:sz w:val="22"/>
          <w:szCs w:val="22"/>
        </w:rPr>
        <w:t>, lo anterior por cuanto el trámite interno para el estudio, análisis, aprobación y adjudicación licitatoria de las ayudas técnicas finaliza en el último trimestre, proceso que contempla desde la solicitud inicial, así como las aprobaciones internas por parte de la Gerencia General, Junta Directiva y las respectivas modificaciones presupuestarias, entre otros, por lo que los giros efectivos se realizaron en el último mes del año y al proceso de entrega de las respectivas ayudas técnicas no se han realizado efectivamente sino a partir del año 2014.</w:t>
      </w:r>
    </w:p>
    <w:p w:rsidR="00A056AC" w:rsidRPr="009B12FF" w:rsidRDefault="00A056AC" w:rsidP="00FA66F6">
      <w:pPr>
        <w:jc w:val="both"/>
        <w:rPr>
          <w:rFonts w:ascii="Arial" w:hAnsi="Arial" w:cs="Arial"/>
          <w:sz w:val="22"/>
          <w:szCs w:val="22"/>
        </w:rPr>
      </w:pPr>
    </w:p>
    <w:p w:rsidR="00FA2EAA" w:rsidRPr="009B12FF" w:rsidRDefault="00FA2EAA" w:rsidP="00FA66F6">
      <w:pPr>
        <w:jc w:val="both"/>
        <w:rPr>
          <w:rFonts w:ascii="Arial" w:hAnsi="Arial" w:cs="Arial"/>
          <w:sz w:val="22"/>
          <w:szCs w:val="22"/>
        </w:rPr>
      </w:pPr>
    </w:p>
    <w:p w:rsidR="00A056AC" w:rsidRPr="009B12FF" w:rsidRDefault="00A056AC" w:rsidP="00FA66F6">
      <w:pPr>
        <w:jc w:val="both"/>
        <w:rPr>
          <w:rFonts w:ascii="Arial" w:hAnsi="Arial" w:cs="Arial"/>
          <w:b/>
          <w:sz w:val="22"/>
          <w:szCs w:val="22"/>
        </w:rPr>
      </w:pPr>
      <w:r w:rsidRPr="009B12FF">
        <w:rPr>
          <w:rFonts w:ascii="Arial" w:hAnsi="Arial" w:cs="Arial"/>
          <w:b/>
          <w:sz w:val="22"/>
          <w:szCs w:val="22"/>
        </w:rPr>
        <w:t>Aspectos positivos internos</w:t>
      </w:r>
    </w:p>
    <w:p w:rsidR="00FA2EAA" w:rsidRPr="009B12FF" w:rsidRDefault="00FA2EAA" w:rsidP="00FA66F6">
      <w:pPr>
        <w:jc w:val="both"/>
        <w:rPr>
          <w:rFonts w:ascii="Arial" w:hAnsi="Arial" w:cs="Arial"/>
          <w:b/>
          <w:sz w:val="22"/>
          <w:szCs w:val="22"/>
        </w:rPr>
      </w:pPr>
    </w:p>
    <w:p w:rsidR="00A056AC" w:rsidRPr="009B12FF" w:rsidRDefault="00A056AC" w:rsidP="00FA66F6">
      <w:pPr>
        <w:jc w:val="both"/>
        <w:rPr>
          <w:rFonts w:ascii="Arial" w:hAnsi="Arial" w:cs="Arial"/>
          <w:sz w:val="22"/>
          <w:szCs w:val="22"/>
        </w:rPr>
      </w:pPr>
      <w:r w:rsidRPr="009B12FF">
        <w:rPr>
          <w:rFonts w:ascii="Arial" w:hAnsi="Arial" w:cs="Arial"/>
          <w:sz w:val="22"/>
          <w:szCs w:val="22"/>
        </w:rPr>
        <w:t xml:space="preserve">Cabe señalar que se aplicó una nueva metodología por precalificación con el fin de minimizar el tiempo de adjudicación. El proceso licitatorio de calificación de empresas quedó habilitado por un período de tres años. </w:t>
      </w:r>
    </w:p>
    <w:p w:rsidR="00A056AC" w:rsidRPr="009B12FF" w:rsidRDefault="00A056AC" w:rsidP="00FA66F6">
      <w:pPr>
        <w:jc w:val="both"/>
        <w:rPr>
          <w:rFonts w:ascii="Arial" w:hAnsi="Arial" w:cs="Arial"/>
          <w:sz w:val="22"/>
          <w:szCs w:val="22"/>
        </w:rPr>
      </w:pPr>
    </w:p>
    <w:p w:rsidR="00A056AC" w:rsidRPr="009B12FF" w:rsidRDefault="00A056AC" w:rsidP="00FA66F6">
      <w:pPr>
        <w:jc w:val="both"/>
        <w:rPr>
          <w:rFonts w:ascii="Arial" w:hAnsi="Arial" w:cs="Arial"/>
          <w:sz w:val="22"/>
          <w:szCs w:val="22"/>
        </w:rPr>
      </w:pPr>
      <w:r w:rsidRPr="009B12FF">
        <w:rPr>
          <w:rFonts w:ascii="Arial" w:hAnsi="Arial" w:cs="Arial"/>
          <w:sz w:val="22"/>
          <w:szCs w:val="22"/>
        </w:rPr>
        <w:t>Adicionalmente el Departamento de Acción Social en coordinación con el Departamento de Contabilidad consolidó una variación en el trámite de presupuestación de los recursos que se aplicará en el presupuesto 2014 con el fin de agilizar la gestión de compra de las ayudas técnicas</w:t>
      </w:r>
    </w:p>
    <w:p w:rsidR="00A056AC" w:rsidRPr="009B12FF" w:rsidRDefault="00A056AC" w:rsidP="00FA66F6">
      <w:pPr>
        <w:jc w:val="both"/>
        <w:rPr>
          <w:rFonts w:ascii="Arial" w:hAnsi="Arial" w:cs="Arial"/>
          <w:sz w:val="22"/>
          <w:szCs w:val="22"/>
        </w:rPr>
      </w:pPr>
    </w:p>
    <w:p w:rsidR="00A056AC" w:rsidRPr="009B12FF" w:rsidRDefault="00A056AC" w:rsidP="00FA66F6">
      <w:pPr>
        <w:jc w:val="both"/>
        <w:rPr>
          <w:rFonts w:ascii="Arial" w:hAnsi="Arial" w:cs="Arial"/>
          <w:sz w:val="22"/>
          <w:szCs w:val="22"/>
        </w:rPr>
      </w:pPr>
      <w:r w:rsidRPr="009B12FF">
        <w:rPr>
          <w:rFonts w:ascii="Arial" w:hAnsi="Arial" w:cs="Arial"/>
          <w:sz w:val="22"/>
          <w:szCs w:val="22"/>
        </w:rPr>
        <w:t>En el período 2013, se logró consolidar la compra de 154 sillas de ruedas personalizadas, prótesis, camas ortopédicas, sillas para baño, máquinas Perkins y computadoras.</w:t>
      </w:r>
    </w:p>
    <w:p w:rsidR="00A056AC" w:rsidRPr="009B12FF" w:rsidRDefault="00A056AC" w:rsidP="00FA66F6">
      <w:pPr>
        <w:jc w:val="both"/>
        <w:rPr>
          <w:rFonts w:ascii="Arial" w:hAnsi="Arial" w:cs="Arial"/>
          <w:sz w:val="22"/>
          <w:szCs w:val="22"/>
        </w:rPr>
      </w:pPr>
    </w:p>
    <w:p w:rsidR="00FA2EAA" w:rsidRPr="009B12FF" w:rsidRDefault="00FA2EAA" w:rsidP="00FA66F6">
      <w:pPr>
        <w:jc w:val="both"/>
        <w:rPr>
          <w:rFonts w:ascii="Arial" w:hAnsi="Arial" w:cs="Arial"/>
          <w:sz w:val="22"/>
          <w:szCs w:val="22"/>
        </w:rPr>
      </w:pPr>
    </w:p>
    <w:p w:rsidR="00A056AC" w:rsidRPr="009B12FF" w:rsidRDefault="00A056AC" w:rsidP="00FA66F6">
      <w:pPr>
        <w:jc w:val="both"/>
        <w:rPr>
          <w:rFonts w:ascii="Arial" w:hAnsi="Arial" w:cs="Arial"/>
          <w:b/>
          <w:sz w:val="22"/>
          <w:szCs w:val="22"/>
        </w:rPr>
      </w:pPr>
      <w:r w:rsidRPr="009B12FF">
        <w:rPr>
          <w:rFonts w:ascii="Arial" w:hAnsi="Arial" w:cs="Arial"/>
          <w:b/>
          <w:sz w:val="22"/>
          <w:szCs w:val="22"/>
        </w:rPr>
        <w:t>Aspectos negativos internos</w:t>
      </w:r>
    </w:p>
    <w:p w:rsidR="00FA2EAA" w:rsidRPr="009B12FF" w:rsidRDefault="00FA2EAA" w:rsidP="00FA66F6">
      <w:pPr>
        <w:jc w:val="both"/>
        <w:rPr>
          <w:rFonts w:ascii="Arial" w:hAnsi="Arial" w:cs="Arial"/>
          <w:b/>
          <w:sz w:val="22"/>
          <w:szCs w:val="22"/>
        </w:rPr>
      </w:pPr>
    </w:p>
    <w:p w:rsidR="00A056AC" w:rsidRPr="009B12FF" w:rsidRDefault="00A056AC" w:rsidP="00FA66F6">
      <w:pPr>
        <w:jc w:val="both"/>
        <w:rPr>
          <w:rFonts w:ascii="Arial" w:hAnsi="Arial" w:cs="Arial"/>
          <w:sz w:val="22"/>
          <w:szCs w:val="22"/>
        </w:rPr>
      </w:pPr>
      <w:r w:rsidRPr="009B12FF">
        <w:rPr>
          <w:rFonts w:ascii="Arial" w:hAnsi="Arial" w:cs="Arial"/>
          <w:sz w:val="22"/>
          <w:szCs w:val="22"/>
        </w:rPr>
        <w:t>El trámite interno para el estudio, análisis y aprobación de las ayudas técnicas, además de requisitos externos que deben cumplir los beneficiarios; proceso que contempla desde la solicitud inicial, viabilidad, estudios técnicos preliminares, visitas de campo, procesos licitatorios, entre otros.</w:t>
      </w:r>
    </w:p>
    <w:p w:rsidR="00A056AC" w:rsidRPr="009B12FF" w:rsidRDefault="00A056AC" w:rsidP="00FA66F6">
      <w:pPr>
        <w:jc w:val="both"/>
        <w:rPr>
          <w:rFonts w:ascii="Arial" w:hAnsi="Arial" w:cs="Arial"/>
          <w:sz w:val="22"/>
          <w:szCs w:val="22"/>
        </w:rPr>
      </w:pPr>
    </w:p>
    <w:p w:rsidR="00A056AC" w:rsidRPr="009B12FF" w:rsidRDefault="00A056AC" w:rsidP="00FA66F6">
      <w:pPr>
        <w:jc w:val="both"/>
        <w:rPr>
          <w:rFonts w:ascii="Arial" w:hAnsi="Arial" w:cs="Arial"/>
          <w:sz w:val="22"/>
          <w:szCs w:val="22"/>
        </w:rPr>
      </w:pPr>
      <w:r w:rsidRPr="009B12FF">
        <w:rPr>
          <w:rFonts w:ascii="Arial" w:hAnsi="Arial" w:cs="Arial"/>
          <w:sz w:val="22"/>
          <w:szCs w:val="22"/>
        </w:rPr>
        <w:t>Por otro lado, la generación de los recursos se realiza mes a mes hasta cumplir con los fondos suficientes para pagar la correspondiente licitación, así como la gestión de la empresa designada, que en la mayoría de los casos, por su alta calidad y especificaciones técnicas, son importados por fabricantes extranjeros.</w:t>
      </w:r>
    </w:p>
    <w:p w:rsidR="00A056AC" w:rsidRPr="009B12FF" w:rsidRDefault="00A056AC" w:rsidP="00FA66F6">
      <w:pPr>
        <w:jc w:val="both"/>
        <w:rPr>
          <w:rFonts w:ascii="Arial" w:hAnsi="Arial" w:cs="Arial"/>
          <w:sz w:val="22"/>
          <w:szCs w:val="22"/>
        </w:rPr>
      </w:pPr>
    </w:p>
    <w:p w:rsidR="00A056AC" w:rsidRPr="009B12FF" w:rsidRDefault="00A056AC" w:rsidP="00FA66F6">
      <w:pPr>
        <w:jc w:val="both"/>
        <w:rPr>
          <w:rFonts w:ascii="Arial" w:hAnsi="Arial" w:cs="Arial"/>
          <w:sz w:val="22"/>
          <w:szCs w:val="22"/>
        </w:rPr>
      </w:pPr>
      <w:r w:rsidRPr="009B12FF">
        <w:rPr>
          <w:rFonts w:ascii="Arial" w:hAnsi="Arial" w:cs="Arial"/>
          <w:sz w:val="22"/>
          <w:szCs w:val="22"/>
        </w:rPr>
        <w:t>La aprobación tardía del presupuesto extraordinario 01-2013 y la incorporación de una empresa nueva en el proceso de clasificación de ofertas, retraso el proceso de compras y por consiguiente se inicia  el próximo período con la entrega de artículos.</w:t>
      </w:r>
    </w:p>
    <w:p w:rsidR="00A056AC" w:rsidRPr="009B12FF" w:rsidRDefault="00A056AC" w:rsidP="00FA66F6">
      <w:pPr>
        <w:jc w:val="both"/>
        <w:rPr>
          <w:rFonts w:ascii="Arial" w:hAnsi="Arial" w:cs="Arial"/>
          <w:b/>
          <w:sz w:val="22"/>
          <w:szCs w:val="22"/>
        </w:rPr>
      </w:pPr>
    </w:p>
    <w:p w:rsidR="00FA2EAA" w:rsidRPr="009B12FF" w:rsidRDefault="00FA2EAA" w:rsidP="00FA66F6">
      <w:pPr>
        <w:jc w:val="both"/>
        <w:rPr>
          <w:rFonts w:ascii="Arial" w:hAnsi="Arial" w:cs="Arial"/>
          <w:b/>
          <w:sz w:val="22"/>
          <w:szCs w:val="22"/>
        </w:rPr>
      </w:pPr>
    </w:p>
    <w:p w:rsidR="00A056AC" w:rsidRPr="009B12FF" w:rsidRDefault="00A056AC" w:rsidP="00FF362A">
      <w:pPr>
        <w:jc w:val="both"/>
        <w:rPr>
          <w:rFonts w:ascii="Arial" w:hAnsi="Arial" w:cs="Arial"/>
          <w:b/>
          <w:sz w:val="22"/>
          <w:szCs w:val="22"/>
        </w:rPr>
      </w:pPr>
      <w:r w:rsidRPr="009B12FF">
        <w:rPr>
          <w:rFonts w:ascii="Arial" w:hAnsi="Arial" w:cs="Arial"/>
          <w:b/>
          <w:sz w:val="22"/>
          <w:szCs w:val="22"/>
        </w:rPr>
        <w:t>Cómo repercutió en l</w:t>
      </w:r>
      <w:r w:rsidR="00250D2E" w:rsidRPr="009B12FF">
        <w:rPr>
          <w:rFonts w:ascii="Arial" w:hAnsi="Arial" w:cs="Arial"/>
          <w:b/>
          <w:sz w:val="22"/>
          <w:szCs w:val="22"/>
        </w:rPr>
        <w:t>a entrega de bienes y servicios.</w:t>
      </w:r>
    </w:p>
    <w:p w:rsidR="00FA2EAA" w:rsidRPr="009B12FF" w:rsidRDefault="00FA2EAA" w:rsidP="00FF362A">
      <w:pPr>
        <w:jc w:val="both"/>
        <w:rPr>
          <w:rFonts w:ascii="Arial" w:hAnsi="Arial" w:cs="Arial"/>
          <w:b/>
          <w:sz w:val="22"/>
          <w:szCs w:val="22"/>
        </w:rPr>
      </w:pPr>
    </w:p>
    <w:p w:rsidR="00FA2EAA" w:rsidRPr="009B12FF" w:rsidRDefault="00A056AC" w:rsidP="00FA2EAA">
      <w:pPr>
        <w:jc w:val="both"/>
        <w:rPr>
          <w:rFonts w:ascii="Arial" w:hAnsi="Arial" w:cs="Arial"/>
          <w:sz w:val="22"/>
          <w:szCs w:val="22"/>
        </w:rPr>
      </w:pPr>
      <w:r w:rsidRPr="009B12FF">
        <w:rPr>
          <w:rFonts w:ascii="Arial" w:hAnsi="Arial" w:cs="Arial"/>
          <w:sz w:val="22"/>
          <w:szCs w:val="22"/>
        </w:rPr>
        <w:t>La entrega de los recursos por ayudas técnicas incide positivamente en la atención de los beneficiarios que obtendrán un mejoramiento en las condiciones de la calidad de vida con la dotación de prótesis y sillas de rueda.</w:t>
      </w:r>
    </w:p>
    <w:p w:rsidR="00FA2EAA" w:rsidRPr="009B12FF" w:rsidRDefault="00FA2EAA" w:rsidP="00FF362A">
      <w:pPr>
        <w:rPr>
          <w:rFonts w:ascii="Arial" w:hAnsi="Arial" w:cs="Arial"/>
          <w:b/>
          <w:sz w:val="22"/>
          <w:szCs w:val="22"/>
          <w:u w:val="single"/>
        </w:rPr>
      </w:pPr>
    </w:p>
    <w:p w:rsidR="00FA2EAA" w:rsidRPr="009B12FF" w:rsidRDefault="00FA2EAA" w:rsidP="00FF362A">
      <w:pPr>
        <w:rPr>
          <w:rFonts w:ascii="Arial" w:hAnsi="Arial" w:cs="Arial"/>
          <w:b/>
          <w:sz w:val="22"/>
          <w:szCs w:val="22"/>
          <w:u w:val="single"/>
        </w:rPr>
      </w:pPr>
    </w:p>
    <w:p w:rsidR="00F51A0A" w:rsidRPr="009B12FF" w:rsidRDefault="00F51A0A" w:rsidP="00FF362A">
      <w:pPr>
        <w:rPr>
          <w:rFonts w:ascii="Arial" w:hAnsi="Arial" w:cs="Arial"/>
          <w:b/>
          <w:sz w:val="22"/>
          <w:szCs w:val="22"/>
        </w:rPr>
      </w:pPr>
      <w:r w:rsidRPr="009B12FF">
        <w:rPr>
          <w:rFonts w:ascii="Arial" w:hAnsi="Arial" w:cs="Arial"/>
          <w:b/>
          <w:sz w:val="22"/>
          <w:szCs w:val="22"/>
        </w:rPr>
        <w:t xml:space="preserve">Metas </w:t>
      </w:r>
      <w:r w:rsidR="0000406B" w:rsidRPr="00A16762">
        <w:rPr>
          <w:rFonts w:ascii="Arial" w:hAnsi="Arial" w:cs="Arial"/>
          <w:b/>
          <w:sz w:val="22"/>
          <w:szCs w:val="22"/>
        </w:rPr>
        <w:t>regular</w:t>
      </w:r>
    </w:p>
    <w:p w:rsidR="003C17AB" w:rsidRPr="009B12FF" w:rsidRDefault="003C17AB" w:rsidP="00FF362A">
      <w:pPr>
        <w:jc w:val="both"/>
        <w:rPr>
          <w:rFonts w:ascii="Arial" w:hAnsi="Arial" w:cs="Arial"/>
          <w:b/>
          <w:sz w:val="22"/>
          <w:szCs w:val="22"/>
        </w:rPr>
      </w:pPr>
    </w:p>
    <w:p w:rsidR="00131C68" w:rsidRPr="009B12FF" w:rsidRDefault="00131C68" w:rsidP="00FF362A">
      <w:pPr>
        <w:jc w:val="both"/>
        <w:rPr>
          <w:rFonts w:ascii="Arial" w:hAnsi="Arial" w:cs="Arial"/>
          <w:b/>
          <w:sz w:val="22"/>
          <w:szCs w:val="22"/>
        </w:rPr>
      </w:pPr>
      <w:r w:rsidRPr="009B12FF">
        <w:rPr>
          <w:rFonts w:ascii="Arial" w:hAnsi="Arial" w:cs="Arial"/>
          <w:b/>
          <w:sz w:val="22"/>
          <w:szCs w:val="22"/>
        </w:rPr>
        <w:t>Indicador 2</w:t>
      </w:r>
    </w:p>
    <w:p w:rsidR="00131C68" w:rsidRPr="009B12FF" w:rsidRDefault="00131C68" w:rsidP="00FF362A">
      <w:pPr>
        <w:ind w:left="360"/>
        <w:jc w:val="both"/>
        <w:rPr>
          <w:rFonts w:ascii="Arial" w:hAnsi="Arial" w:cs="Arial"/>
          <w:b/>
          <w:sz w:val="22"/>
          <w:szCs w:val="22"/>
        </w:rPr>
      </w:pPr>
      <w:r w:rsidRPr="009B12FF">
        <w:rPr>
          <w:rFonts w:ascii="Arial" w:hAnsi="Arial" w:cs="Arial"/>
          <w:b/>
          <w:sz w:val="22"/>
          <w:szCs w:val="22"/>
        </w:rPr>
        <w:t>Porcentaje de recursos transferidos para financiar proyectos específicos a las organizaciones sociales respecto a las utilidades disponibles de los meses de enero a diciembre 2013 (producto – eficacia).</w:t>
      </w:r>
    </w:p>
    <w:tbl>
      <w:tblPr>
        <w:tblStyle w:val="Tablaconcuadrcula"/>
        <w:tblW w:w="8613" w:type="dxa"/>
        <w:tblLayout w:type="fixed"/>
        <w:tblLook w:val="04A0" w:firstRow="1" w:lastRow="0" w:firstColumn="1" w:lastColumn="0" w:noHBand="0" w:noVBand="1"/>
      </w:tblPr>
      <w:tblGrid>
        <w:gridCol w:w="3652"/>
        <w:gridCol w:w="992"/>
        <w:gridCol w:w="1985"/>
        <w:gridCol w:w="1984"/>
      </w:tblGrid>
      <w:tr w:rsidR="00131C68" w:rsidRPr="009B12FF" w:rsidTr="005E7634">
        <w:tc>
          <w:tcPr>
            <w:tcW w:w="3652" w:type="dxa"/>
            <w:vAlign w:val="center"/>
          </w:tcPr>
          <w:p w:rsidR="00131C68" w:rsidRPr="009B12FF" w:rsidRDefault="00131C68" w:rsidP="00FF362A">
            <w:pPr>
              <w:jc w:val="center"/>
              <w:rPr>
                <w:rFonts w:ascii="Arial" w:hAnsi="Arial" w:cs="Arial"/>
                <w:b/>
                <w:sz w:val="22"/>
                <w:szCs w:val="22"/>
              </w:rPr>
            </w:pPr>
            <w:r w:rsidRPr="009B12FF">
              <w:rPr>
                <w:rFonts w:ascii="Arial" w:hAnsi="Arial" w:cs="Arial"/>
                <w:b/>
                <w:sz w:val="22"/>
                <w:szCs w:val="22"/>
              </w:rPr>
              <w:t>Fórmula del Indicador</w:t>
            </w:r>
          </w:p>
        </w:tc>
        <w:tc>
          <w:tcPr>
            <w:tcW w:w="992" w:type="dxa"/>
            <w:vAlign w:val="center"/>
          </w:tcPr>
          <w:p w:rsidR="00131C68" w:rsidRPr="009B12FF" w:rsidRDefault="00131C68" w:rsidP="00FF362A">
            <w:pPr>
              <w:jc w:val="center"/>
              <w:rPr>
                <w:rFonts w:ascii="Arial" w:hAnsi="Arial" w:cs="Arial"/>
                <w:b/>
                <w:sz w:val="22"/>
                <w:szCs w:val="22"/>
              </w:rPr>
            </w:pPr>
            <w:r w:rsidRPr="009B12FF">
              <w:rPr>
                <w:rFonts w:ascii="Arial" w:hAnsi="Arial" w:cs="Arial"/>
                <w:b/>
                <w:sz w:val="22"/>
                <w:szCs w:val="22"/>
              </w:rPr>
              <w:t>Meta</w:t>
            </w:r>
          </w:p>
        </w:tc>
        <w:tc>
          <w:tcPr>
            <w:tcW w:w="1985" w:type="dxa"/>
            <w:vAlign w:val="center"/>
          </w:tcPr>
          <w:p w:rsidR="00131C68" w:rsidRPr="009B12FF" w:rsidRDefault="00131C68" w:rsidP="00FF362A">
            <w:pPr>
              <w:jc w:val="center"/>
              <w:rPr>
                <w:rFonts w:ascii="Arial" w:hAnsi="Arial" w:cs="Arial"/>
                <w:b/>
                <w:sz w:val="22"/>
                <w:szCs w:val="22"/>
              </w:rPr>
            </w:pPr>
            <w:r w:rsidRPr="009B12FF">
              <w:rPr>
                <w:rFonts w:ascii="Arial" w:hAnsi="Arial" w:cs="Arial"/>
                <w:b/>
                <w:sz w:val="22"/>
                <w:szCs w:val="22"/>
              </w:rPr>
              <w:t>Real alcanzado</w:t>
            </w:r>
          </w:p>
        </w:tc>
        <w:tc>
          <w:tcPr>
            <w:tcW w:w="1984" w:type="dxa"/>
          </w:tcPr>
          <w:p w:rsidR="00131C68" w:rsidRPr="009B12FF" w:rsidRDefault="00131C68" w:rsidP="00FF362A">
            <w:pPr>
              <w:jc w:val="center"/>
              <w:rPr>
                <w:rFonts w:ascii="Arial" w:hAnsi="Arial" w:cs="Arial"/>
                <w:b/>
                <w:sz w:val="22"/>
                <w:szCs w:val="22"/>
              </w:rPr>
            </w:pPr>
            <w:r w:rsidRPr="009B12FF">
              <w:rPr>
                <w:rFonts w:ascii="Arial" w:hAnsi="Arial" w:cs="Arial"/>
                <w:b/>
                <w:sz w:val="22"/>
                <w:szCs w:val="22"/>
              </w:rPr>
              <w:t>% Cumplimiento</w:t>
            </w:r>
          </w:p>
        </w:tc>
      </w:tr>
      <w:tr w:rsidR="00131C68" w:rsidRPr="009B12FF" w:rsidTr="005E7634">
        <w:tc>
          <w:tcPr>
            <w:tcW w:w="3652" w:type="dxa"/>
            <w:vAlign w:val="center"/>
          </w:tcPr>
          <w:p w:rsidR="00131C68" w:rsidRPr="009B12FF" w:rsidRDefault="00131C68" w:rsidP="00FF362A">
            <w:pPr>
              <w:rPr>
                <w:rFonts w:ascii="Arial" w:hAnsi="Arial" w:cs="Arial"/>
                <w:sz w:val="22"/>
                <w:szCs w:val="22"/>
                <w:lang w:val="es-ES"/>
              </w:rPr>
            </w:pPr>
            <w:r w:rsidRPr="009B12FF">
              <w:rPr>
                <w:rFonts w:ascii="Arial" w:hAnsi="Arial" w:cs="Arial"/>
                <w:sz w:val="22"/>
                <w:szCs w:val="22"/>
                <w:lang w:val="es-ES"/>
              </w:rPr>
              <w:t>(Recursos transferidos para proyectos específicos año x/Utilidades disponibles  para proyectos específicos añox) 100</w:t>
            </w:r>
          </w:p>
        </w:tc>
        <w:tc>
          <w:tcPr>
            <w:tcW w:w="992" w:type="dxa"/>
            <w:vAlign w:val="center"/>
          </w:tcPr>
          <w:p w:rsidR="00131C68" w:rsidRPr="009B12FF" w:rsidRDefault="00131C68" w:rsidP="00FF362A">
            <w:pPr>
              <w:jc w:val="center"/>
              <w:rPr>
                <w:rFonts w:ascii="Arial" w:hAnsi="Arial" w:cs="Arial"/>
                <w:sz w:val="22"/>
                <w:szCs w:val="22"/>
              </w:rPr>
            </w:pPr>
            <w:r w:rsidRPr="009B12FF">
              <w:rPr>
                <w:rFonts w:ascii="Arial" w:hAnsi="Arial" w:cs="Arial"/>
                <w:sz w:val="22"/>
                <w:szCs w:val="22"/>
              </w:rPr>
              <w:t>78%</w:t>
            </w:r>
          </w:p>
        </w:tc>
        <w:tc>
          <w:tcPr>
            <w:tcW w:w="1985" w:type="dxa"/>
            <w:vAlign w:val="center"/>
          </w:tcPr>
          <w:p w:rsidR="00131C68" w:rsidRPr="009B12FF" w:rsidRDefault="00131C68" w:rsidP="00FF362A">
            <w:pPr>
              <w:jc w:val="center"/>
              <w:rPr>
                <w:rFonts w:ascii="Arial" w:hAnsi="Arial" w:cs="Arial"/>
                <w:sz w:val="22"/>
                <w:szCs w:val="22"/>
              </w:rPr>
            </w:pPr>
            <w:r w:rsidRPr="009B12FF">
              <w:rPr>
                <w:rFonts w:ascii="Arial" w:hAnsi="Arial" w:cs="Arial"/>
                <w:sz w:val="22"/>
                <w:szCs w:val="22"/>
              </w:rPr>
              <w:t>61.36%</w:t>
            </w:r>
          </w:p>
        </w:tc>
        <w:tc>
          <w:tcPr>
            <w:tcW w:w="1984" w:type="dxa"/>
            <w:vAlign w:val="center"/>
          </w:tcPr>
          <w:p w:rsidR="00131C68" w:rsidRPr="009B12FF" w:rsidRDefault="00131C68" w:rsidP="00FF362A">
            <w:pPr>
              <w:jc w:val="center"/>
              <w:rPr>
                <w:rFonts w:ascii="Arial" w:hAnsi="Arial" w:cs="Arial"/>
                <w:sz w:val="22"/>
                <w:szCs w:val="22"/>
              </w:rPr>
            </w:pPr>
            <w:r w:rsidRPr="009B12FF">
              <w:rPr>
                <w:rFonts w:ascii="Arial" w:hAnsi="Arial" w:cs="Arial"/>
                <w:sz w:val="22"/>
                <w:szCs w:val="22"/>
              </w:rPr>
              <w:t>78.67%</w:t>
            </w:r>
          </w:p>
        </w:tc>
      </w:tr>
    </w:tbl>
    <w:p w:rsidR="00131C68" w:rsidRPr="009B12FF" w:rsidRDefault="00131C68" w:rsidP="00FF362A">
      <w:pPr>
        <w:jc w:val="both"/>
        <w:rPr>
          <w:rFonts w:ascii="Arial" w:hAnsi="Arial" w:cs="Arial"/>
          <w:sz w:val="22"/>
          <w:szCs w:val="22"/>
        </w:rPr>
      </w:pPr>
    </w:p>
    <w:p w:rsidR="00131C68" w:rsidRPr="009B12FF" w:rsidRDefault="00131C68" w:rsidP="00FF362A">
      <w:pPr>
        <w:jc w:val="both"/>
        <w:rPr>
          <w:rFonts w:ascii="Arial" w:hAnsi="Arial" w:cs="Arial"/>
          <w:sz w:val="22"/>
          <w:szCs w:val="22"/>
        </w:rPr>
      </w:pPr>
      <w:r w:rsidRPr="009B12FF">
        <w:rPr>
          <w:rFonts w:ascii="Arial" w:hAnsi="Arial" w:cs="Arial"/>
          <w:sz w:val="22"/>
          <w:szCs w:val="22"/>
        </w:rPr>
        <w:t>Para este indicador se proyectó un cumplimiento del 78% de las utilidades disponibles para el período para financiar proyectos específicos corresponde una utilidad real de ¢11.493.512.576.  El porcentaje de cumplimiento de la meta anual fue 61.36% del 78% esperado, el monto total transferido para el programa de proyectos específicos  al finalizar el año ascendió a ¢7.051.959.953 de los recursos distribuidos efec</w:t>
      </w:r>
      <w:r w:rsidR="002C6D2D" w:rsidRPr="009B12FF">
        <w:rPr>
          <w:rFonts w:ascii="Arial" w:hAnsi="Arial" w:cs="Arial"/>
          <w:sz w:val="22"/>
          <w:szCs w:val="22"/>
        </w:rPr>
        <w:t xml:space="preserve">tivamente, lo que representa el </w:t>
      </w:r>
      <w:r w:rsidRPr="009B12FF">
        <w:rPr>
          <w:rFonts w:ascii="Arial" w:hAnsi="Arial" w:cs="Arial"/>
          <w:sz w:val="22"/>
          <w:szCs w:val="22"/>
        </w:rPr>
        <w:t xml:space="preserve">78.67% de alcance por lo que se considera como meta </w:t>
      </w:r>
      <w:r w:rsidR="0000406B" w:rsidRPr="00A16762">
        <w:rPr>
          <w:rFonts w:ascii="Arial" w:hAnsi="Arial" w:cs="Arial"/>
          <w:sz w:val="22"/>
          <w:szCs w:val="22"/>
        </w:rPr>
        <w:t>regular</w:t>
      </w:r>
      <w:r w:rsidRPr="009B12FF">
        <w:rPr>
          <w:rFonts w:ascii="Arial" w:hAnsi="Arial" w:cs="Arial"/>
          <w:sz w:val="22"/>
          <w:szCs w:val="22"/>
        </w:rPr>
        <w:t xml:space="preserve">. </w:t>
      </w:r>
    </w:p>
    <w:p w:rsidR="00131C68" w:rsidRPr="009B12FF" w:rsidRDefault="00131C68" w:rsidP="00FF362A">
      <w:pPr>
        <w:jc w:val="both"/>
        <w:rPr>
          <w:rFonts w:ascii="Arial" w:hAnsi="Arial" w:cs="Arial"/>
          <w:sz w:val="22"/>
          <w:szCs w:val="22"/>
        </w:rPr>
      </w:pPr>
      <w:r w:rsidRPr="009B12FF">
        <w:rPr>
          <w:rFonts w:ascii="Arial" w:hAnsi="Arial" w:cs="Arial"/>
          <w:sz w:val="22"/>
          <w:szCs w:val="22"/>
        </w:rPr>
        <w:t xml:space="preserve"> </w:t>
      </w:r>
    </w:p>
    <w:p w:rsidR="00131C68" w:rsidRPr="009B12FF" w:rsidRDefault="00131C68" w:rsidP="00FF362A">
      <w:pPr>
        <w:jc w:val="both"/>
        <w:rPr>
          <w:rFonts w:ascii="Arial" w:hAnsi="Arial" w:cs="Arial"/>
          <w:sz w:val="22"/>
          <w:szCs w:val="22"/>
        </w:rPr>
      </w:pPr>
      <w:r w:rsidRPr="009B12FF">
        <w:rPr>
          <w:rFonts w:ascii="Arial" w:hAnsi="Arial" w:cs="Arial"/>
          <w:sz w:val="22"/>
          <w:szCs w:val="22"/>
        </w:rPr>
        <w:t>Este indicador depende de factores externos, como el que las organizaciones beneficiarias no cumplan con la presentación de los requisitos legales (cuotas obrero patronales, cédulas y personerías jurídicas, entre otros) así como la presentación de documentos en forma extemporánea, constantes solicitudes de prórroga a los plazos establecidos a las organizaciones.</w:t>
      </w:r>
    </w:p>
    <w:p w:rsidR="00131C68" w:rsidRPr="009B12FF" w:rsidRDefault="00131C68" w:rsidP="00FF362A">
      <w:pPr>
        <w:jc w:val="both"/>
        <w:rPr>
          <w:rFonts w:ascii="Arial" w:hAnsi="Arial" w:cs="Arial"/>
          <w:sz w:val="22"/>
          <w:szCs w:val="22"/>
        </w:rPr>
      </w:pPr>
    </w:p>
    <w:p w:rsidR="00131C68" w:rsidRPr="009B12FF" w:rsidRDefault="00131C68" w:rsidP="00FF362A">
      <w:pPr>
        <w:jc w:val="both"/>
        <w:rPr>
          <w:rFonts w:ascii="Arial" w:hAnsi="Arial" w:cs="Arial"/>
          <w:sz w:val="22"/>
          <w:szCs w:val="22"/>
        </w:rPr>
      </w:pPr>
      <w:r w:rsidRPr="009B12FF">
        <w:rPr>
          <w:rFonts w:ascii="Arial" w:hAnsi="Arial" w:cs="Arial"/>
          <w:sz w:val="22"/>
          <w:szCs w:val="22"/>
        </w:rPr>
        <w:t xml:space="preserve">Conforme el resultado obtenido, a pesar de que se considera la ubicación de este indicador en la categoría de meta </w:t>
      </w:r>
      <w:r w:rsidR="009E2C71" w:rsidRPr="00A16762">
        <w:rPr>
          <w:rFonts w:ascii="Arial" w:hAnsi="Arial" w:cs="Arial"/>
          <w:sz w:val="22"/>
          <w:szCs w:val="22"/>
        </w:rPr>
        <w:t>regular</w:t>
      </w:r>
      <w:r w:rsidRPr="009B12FF">
        <w:rPr>
          <w:rFonts w:ascii="Arial" w:hAnsi="Arial" w:cs="Arial"/>
          <w:sz w:val="22"/>
          <w:szCs w:val="22"/>
        </w:rPr>
        <w:t>, lo anterior por cuanto el trámite interno para el estudio, análisis y aprobación de los proyectos es de aproximadamente 8 meses, además de requisitos externos que deben cumplir las organizaciones; proceso que contempla desde la solicitud inicial, viabilidad, estudios técnicos preliminares, visitas de campo, visado de planos, permisos municipales, procesos licitatorios, entre otros.</w:t>
      </w:r>
    </w:p>
    <w:p w:rsidR="006326D1" w:rsidRDefault="006326D1" w:rsidP="00FF362A">
      <w:pPr>
        <w:jc w:val="both"/>
        <w:rPr>
          <w:rFonts w:ascii="Arial" w:hAnsi="Arial" w:cs="Arial"/>
          <w:sz w:val="22"/>
          <w:szCs w:val="22"/>
        </w:rPr>
      </w:pPr>
    </w:p>
    <w:p w:rsidR="00131C68" w:rsidRPr="009B12FF" w:rsidRDefault="00131C68" w:rsidP="00FF362A">
      <w:pPr>
        <w:jc w:val="both"/>
        <w:rPr>
          <w:rFonts w:ascii="Arial" w:hAnsi="Arial" w:cs="Arial"/>
          <w:sz w:val="22"/>
          <w:szCs w:val="22"/>
        </w:rPr>
      </w:pPr>
      <w:r w:rsidRPr="009B12FF">
        <w:rPr>
          <w:rFonts w:ascii="Arial" w:hAnsi="Arial" w:cs="Arial"/>
          <w:sz w:val="22"/>
          <w:szCs w:val="22"/>
        </w:rPr>
        <w:t>De igual forma, muchos de los proyectos son de carácter constructivo, cuyas obras iniciaron durante el segundo semestre y, por su naturaleza, los respectivos giros no se realizan en su totalidad, sino que se fraccionan en tractos, los cuales se entregan de acuerdo con el avance de la obra.  Dichos rubros alcanzan un total de ¢425.222.317  distribuidos de la siguiente forma:</w:t>
      </w:r>
    </w:p>
    <w:p w:rsidR="00250D2E" w:rsidRPr="009B12FF" w:rsidRDefault="00250D2E" w:rsidP="00FF362A">
      <w:pPr>
        <w:jc w:val="both"/>
        <w:rPr>
          <w:rFonts w:ascii="Arial" w:hAnsi="Arial" w:cs="Arial"/>
          <w:sz w:val="22"/>
          <w:szCs w:val="22"/>
        </w:rPr>
      </w:pPr>
    </w:p>
    <w:tbl>
      <w:tblPr>
        <w:tblStyle w:val="Tablaconcuadrcula"/>
        <w:tblW w:w="8789" w:type="dxa"/>
        <w:tblInd w:w="108" w:type="dxa"/>
        <w:tblLook w:val="04A0" w:firstRow="1" w:lastRow="0" w:firstColumn="1" w:lastColumn="0" w:noHBand="0" w:noVBand="1"/>
      </w:tblPr>
      <w:tblGrid>
        <w:gridCol w:w="3544"/>
        <w:gridCol w:w="2977"/>
        <w:gridCol w:w="2268"/>
      </w:tblGrid>
      <w:tr w:rsidR="00131C68" w:rsidRPr="009B12FF" w:rsidTr="005E7634">
        <w:tc>
          <w:tcPr>
            <w:tcW w:w="3544" w:type="dxa"/>
          </w:tcPr>
          <w:p w:rsidR="00131C68" w:rsidRPr="009B12FF" w:rsidRDefault="00131C68" w:rsidP="00FF362A">
            <w:pPr>
              <w:jc w:val="center"/>
              <w:rPr>
                <w:rFonts w:ascii="Arial" w:hAnsi="Arial" w:cs="Arial"/>
                <w:b/>
                <w:sz w:val="22"/>
                <w:szCs w:val="22"/>
              </w:rPr>
            </w:pPr>
            <w:r w:rsidRPr="009B12FF">
              <w:rPr>
                <w:rFonts w:ascii="Arial" w:hAnsi="Arial" w:cs="Arial"/>
                <w:b/>
                <w:sz w:val="22"/>
                <w:szCs w:val="22"/>
              </w:rPr>
              <w:t>Programa</w:t>
            </w:r>
          </w:p>
        </w:tc>
        <w:tc>
          <w:tcPr>
            <w:tcW w:w="2977" w:type="dxa"/>
          </w:tcPr>
          <w:p w:rsidR="00131C68" w:rsidRPr="009B12FF" w:rsidRDefault="00131C68" w:rsidP="00FF362A">
            <w:pPr>
              <w:jc w:val="center"/>
              <w:rPr>
                <w:rFonts w:ascii="Arial" w:hAnsi="Arial" w:cs="Arial"/>
                <w:b/>
                <w:sz w:val="22"/>
                <w:szCs w:val="22"/>
              </w:rPr>
            </w:pPr>
            <w:r w:rsidRPr="009B12FF">
              <w:rPr>
                <w:rFonts w:ascii="Arial" w:hAnsi="Arial" w:cs="Arial"/>
                <w:b/>
                <w:sz w:val="22"/>
                <w:szCs w:val="22"/>
              </w:rPr>
              <w:t>Cantidad de proyectos</w:t>
            </w:r>
          </w:p>
        </w:tc>
        <w:tc>
          <w:tcPr>
            <w:tcW w:w="2268" w:type="dxa"/>
          </w:tcPr>
          <w:p w:rsidR="00131C68" w:rsidRPr="009B12FF" w:rsidRDefault="00131C68" w:rsidP="00FF362A">
            <w:pPr>
              <w:jc w:val="center"/>
              <w:rPr>
                <w:rFonts w:ascii="Arial" w:hAnsi="Arial" w:cs="Arial"/>
                <w:b/>
                <w:sz w:val="22"/>
                <w:szCs w:val="22"/>
              </w:rPr>
            </w:pPr>
            <w:r w:rsidRPr="009B12FF">
              <w:rPr>
                <w:rFonts w:ascii="Arial" w:hAnsi="Arial" w:cs="Arial"/>
                <w:b/>
                <w:sz w:val="22"/>
                <w:szCs w:val="22"/>
              </w:rPr>
              <w:t>Monto pendiente</w:t>
            </w:r>
          </w:p>
        </w:tc>
      </w:tr>
      <w:tr w:rsidR="00131C68" w:rsidRPr="009B12FF" w:rsidTr="005E7634">
        <w:tc>
          <w:tcPr>
            <w:tcW w:w="3544" w:type="dxa"/>
          </w:tcPr>
          <w:p w:rsidR="00131C68" w:rsidRPr="009B12FF" w:rsidRDefault="00131C68" w:rsidP="00FF362A">
            <w:pPr>
              <w:rPr>
                <w:rFonts w:ascii="Arial" w:hAnsi="Arial" w:cs="Arial"/>
                <w:sz w:val="22"/>
                <w:szCs w:val="22"/>
              </w:rPr>
            </w:pPr>
            <w:r w:rsidRPr="009B12FF">
              <w:rPr>
                <w:rFonts w:ascii="Arial" w:hAnsi="Arial" w:cs="Arial"/>
                <w:sz w:val="22"/>
                <w:szCs w:val="22"/>
              </w:rPr>
              <w:t>Hogares de Ancianos</w:t>
            </w:r>
          </w:p>
        </w:tc>
        <w:tc>
          <w:tcPr>
            <w:tcW w:w="2977" w:type="dxa"/>
          </w:tcPr>
          <w:p w:rsidR="00131C68" w:rsidRPr="009B12FF" w:rsidRDefault="00131C68" w:rsidP="00FF362A">
            <w:pPr>
              <w:jc w:val="center"/>
              <w:rPr>
                <w:rFonts w:ascii="Arial" w:hAnsi="Arial" w:cs="Arial"/>
                <w:sz w:val="22"/>
                <w:szCs w:val="22"/>
              </w:rPr>
            </w:pPr>
            <w:r w:rsidRPr="009B12FF">
              <w:rPr>
                <w:rFonts w:ascii="Arial" w:hAnsi="Arial" w:cs="Arial"/>
                <w:sz w:val="22"/>
                <w:szCs w:val="22"/>
              </w:rPr>
              <w:t>6</w:t>
            </w:r>
          </w:p>
        </w:tc>
        <w:tc>
          <w:tcPr>
            <w:tcW w:w="2268" w:type="dxa"/>
          </w:tcPr>
          <w:p w:rsidR="00131C68" w:rsidRPr="009B12FF" w:rsidRDefault="00131C68" w:rsidP="00FF362A">
            <w:pPr>
              <w:jc w:val="center"/>
              <w:rPr>
                <w:rFonts w:ascii="Arial" w:hAnsi="Arial" w:cs="Arial"/>
                <w:sz w:val="22"/>
                <w:szCs w:val="22"/>
              </w:rPr>
            </w:pPr>
            <w:r w:rsidRPr="009B12FF">
              <w:rPr>
                <w:rFonts w:ascii="Arial" w:hAnsi="Arial" w:cs="Arial"/>
                <w:sz w:val="22"/>
                <w:szCs w:val="22"/>
              </w:rPr>
              <w:t>241.637.317</w:t>
            </w:r>
          </w:p>
        </w:tc>
      </w:tr>
      <w:tr w:rsidR="00131C68" w:rsidRPr="009B12FF" w:rsidTr="005E7634">
        <w:tc>
          <w:tcPr>
            <w:tcW w:w="3544" w:type="dxa"/>
          </w:tcPr>
          <w:p w:rsidR="00131C68" w:rsidRPr="009B12FF" w:rsidRDefault="00131C68" w:rsidP="00FF362A">
            <w:pPr>
              <w:rPr>
                <w:rFonts w:ascii="Arial" w:hAnsi="Arial" w:cs="Arial"/>
                <w:sz w:val="22"/>
                <w:szCs w:val="22"/>
              </w:rPr>
            </w:pPr>
            <w:r w:rsidRPr="009B12FF">
              <w:rPr>
                <w:rFonts w:ascii="Arial" w:hAnsi="Arial" w:cs="Arial"/>
                <w:sz w:val="22"/>
                <w:szCs w:val="22"/>
              </w:rPr>
              <w:t>Centros Diurnos para Ancianos</w:t>
            </w:r>
          </w:p>
        </w:tc>
        <w:tc>
          <w:tcPr>
            <w:tcW w:w="2977" w:type="dxa"/>
          </w:tcPr>
          <w:p w:rsidR="00131C68" w:rsidRPr="009B12FF" w:rsidRDefault="00131C68" w:rsidP="00FF362A">
            <w:pPr>
              <w:jc w:val="center"/>
              <w:rPr>
                <w:rFonts w:ascii="Arial" w:hAnsi="Arial" w:cs="Arial"/>
                <w:sz w:val="22"/>
                <w:szCs w:val="22"/>
              </w:rPr>
            </w:pPr>
            <w:r w:rsidRPr="009B12FF">
              <w:rPr>
                <w:rFonts w:ascii="Arial" w:hAnsi="Arial" w:cs="Arial"/>
                <w:sz w:val="22"/>
                <w:szCs w:val="22"/>
              </w:rPr>
              <w:t>3</w:t>
            </w:r>
          </w:p>
        </w:tc>
        <w:tc>
          <w:tcPr>
            <w:tcW w:w="2268" w:type="dxa"/>
          </w:tcPr>
          <w:p w:rsidR="00131C68" w:rsidRPr="009B12FF" w:rsidRDefault="00131C68" w:rsidP="00FF362A">
            <w:pPr>
              <w:jc w:val="center"/>
              <w:rPr>
                <w:rFonts w:ascii="Arial" w:hAnsi="Arial" w:cs="Arial"/>
                <w:sz w:val="22"/>
                <w:szCs w:val="22"/>
              </w:rPr>
            </w:pPr>
            <w:r w:rsidRPr="009B12FF">
              <w:rPr>
                <w:rFonts w:ascii="Arial" w:hAnsi="Arial" w:cs="Arial"/>
                <w:sz w:val="22"/>
                <w:szCs w:val="22"/>
              </w:rPr>
              <w:t>41.443.000</w:t>
            </w:r>
          </w:p>
        </w:tc>
      </w:tr>
      <w:tr w:rsidR="00131C68" w:rsidRPr="009B12FF" w:rsidTr="005E7634">
        <w:tc>
          <w:tcPr>
            <w:tcW w:w="3544" w:type="dxa"/>
          </w:tcPr>
          <w:p w:rsidR="00131C68" w:rsidRPr="009B12FF" w:rsidRDefault="00131C68" w:rsidP="00FF362A">
            <w:pPr>
              <w:rPr>
                <w:rFonts w:ascii="Arial" w:hAnsi="Arial" w:cs="Arial"/>
                <w:sz w:val="22"/>
                <w:szCs w:val="22"/>
              </w:rPr>
            </w:pPr>
            <w:r w:rsidRPr="009B12FF">
              <w:rPr>
                <w:rFonts w:ascii="Arial" w:hAnsi="Arial" w:cs="Arial"/>
                <w:sz w:val="22"/>
                <w:szCs w:val="22"/>
              </w:rPr>
              <w:t>Menores en Abandono</w:t>
            </w:r>
          </w:p>
        </w:tc>
        <w:tc>
          <w:tcPr>
            <w:tcW w:w="2977" w:type="dxa"/>
          </w:tcPr>
          <w:p w:rsidR="00131C68" w:rsidRPr="009B12FF" w:rsidRDefault="00131C68" w:rsidP="00FF362A">
            <w:pPr>
              <w:jc w:val="center"/>
              <w:rPr>
                <w:rFonts w:ascii="Arial" w:hAnsi="Arial" w:cs="Arial"/>
                <w:sz w:val="22"/>
                <w:szCs w:val="22"/>
              </w:rPr>
            </w:pPr>
            <w:r w:rsidRPr="009B12FF">
              <w:rPr>
                <w:rFonts w:ascii="Arial" w:hAnsi="Arial" w:cs="Arial"/>
                <w:sz w:val="22"/>
                <w:szCs w:val="22"/>
              </w:rPr>
              <w:t>1</w:t>
            </w:r>
          </w:p>
        </w:tc>
        <w:tc>
          <w:tcPr>
            <w:tcW w:w="2268" w:type="dxa"/>
          </w:tcPr>
          <w:p w:rsidR="00131C68" w:rsidRPr="009B12FF" w:rsidRDefault="00131C68" w:rsidP="00FF362A">
            <w:pPr>
              <w:jc w:val="center"/>
              <w:rPr>
                <w:rFonts w:ascii="Arial" w:hAnsi="Arial" w:cs="Arial"/>
                <w:sz w:val="22"/>
                <w:szCs w:val="22"/>
              </w:rPr>
            </w:pPr>
            <w:r w:rsidRPr="009B12FF">
              <w:rPr>
                <w:rFonts w:ascii="Arial" w:hAnsi="Arial" w:cs="Arial"/>
                <w:sz w:val="22"/>
                <w:szCs w:val="22"/>
              </w:rPr>
              <w:t>21.473.000</w:t>
            </w:r>
          </w:p>
        </w:tc>
      </w:tr>
      <w:tr w:rsidR="00131C68" w:rsidRPr="009B12FF" w:rsidTr="005E7634">
        <w:tc>
          <w:tcPr>
            <w:tcW w:w="3544" w:type="dxa"/>
          </w:tcPr>
          <w:p w:rsidR="00131C68" w:rsidRPr="009B12FF" w:rsidRDefault="00131C68" w:rsidP="00FF362A">
            <w:pPr>
              <w:rPr>
                <w:rFonts w:ascii="Arial" w:hAnsi="Arial" w:cs="Arial"/>
                <w:sz w:val="22"/>
                <w:szCs w:val="22"/>
              </w:rPr>
            </w:pPr>
            <w:r w:rsidRPr="009B12FF">
              <w:rPr>
                <w:rFonts w:ascii="Arial" w:hAnsi="Arial" w:cs="Arial"/>
                <w:sz w:val="22"/>
                <w:szCs w:val="22"/>
              </w:rPr>
              <w:t>Alcoholismo y Drogadicción</w:t>
            </w:r>
          </w:p>
        </w:tc>
        <w:tc>
          <w:tcPr>
            <w:tcW w:w="2977" w:type="dxa"/>
          </w:tcPr>
          <w:p w:rsidR="00131C68" w:rsidRPr="009B12FF" w:rsidRDefault="00131C68" w:rsidP="00FF362A">
            <w:pPr>
              <w:jc w:val="center"/>
              <w:rPr>
                <w:rFonts w:ascii="Arial" w:hAnsi="Arial" w:cs="Arial"/>
                <w:sz w:val="22"/>
                <w:szCs w:val="22"/>
              </w:rPr>
            </w:pPr>
            <w:r w:rsidRPr="009B12FF">
              <w:rPr>
                <w:rFonts w:ascii="Arial" w:hAnsi="Arial" w:cs="Arial"/>
                <w:sz w:val="22"/>
                <w:szCs w:val="22"/>
              </w:rPr>
              <w:t>1</w:t>
            </w:r>
          </w:p>
        </w:tc>
        <w:tc>
          <w:tcPr>
            <w:tcW w:w="2268" w:type="dxa"/>
          </w:tcPr>
          <w:p w:rsidR="00131C68" w:rsidRPr="009B12FF" w:rsidRDefault="00131C68" w:rsidP="00FF362A">
            <w:pPr>
              <w:jc w:val="center"/>
              <w:rPr>
                <w:rFonts w:ascii="Arial" w:hAnsi="Arial" w:cs="Arial"/>
                <w:sz w:val="22"/>
                <w:szCs w:val="22"/>
              </w:rPr>
            </w:pPr>
            <w:r w:rsidRPr="009B12FF">
              <w:rPr>
                <w:rFonts w:ascii="Arial" w:hAnsi="Arial" w:cs="Arial"/>
                <w:sz w:val="22"/>
                <w:szCs w:val="22"/>
              </w:rPr>
              <w:t>18.630.000</w:t>
            </w:r>
          </w:p>
        </w:tc>
      </w:tr>
      <w:tr w:rsidR="00131C68" w:rsidRPr="009B12FF" w:rsidTr="005E7634">
        <w:tc>
          <w:tcPr>
            <w:tcW w:w="3544" w:type="dxa"/>
          </w:tcPr>
          <w:p w:rsidR="00131C68" w:rsidRPr="009B12FF" w:rsidRDefault="00131C68" w:rsidP="00FF362A">
            <w:pPr>
              <w:rPr>
                <w:rFonts w:ascii="Arial" w:hAnsi="Arial" w:cs="Arial"/>
                <w:sz w:val="22"/>
                <w:szCs w:val="22"/>
              </w:rPr>
            </w:pPr>
            <w:r w:rsidRPr="009B12FF">
              <w:rPr>
                <w:rFonts w:ascii="Arial" w:hAnsi="Arial" w:cs="Arial"/>
                <w:sz w:val="22"/>
                <w:szCs w:val="22"/>
              </w:rPr>
              <w:t>Personas con Discapacidad</w:t>
            </w:r>
          </w:p>
        </w:tc>
        <w:tc>
          <w:tcPr>
            <w:tcW w:w="2977" w:type="dxa"/>
          </w:tcPr>
          <w:p w:rsidR="00131C68" w:rsidRPr="009B12FF" w:rsidRDefault="00131C68" w:rsidP="00FF362A">
            <w:pPr>
              <w:jc w:val="center"/>
              <w:rPr>
                <w:rFonts w:ascii="Arial" w:hAnsi="Arial" w:cs="Arial"/>
                <w:sz w:val="22"/>
                <w:szCs w:val="22"/>
              </w:rPr>
            </w:pPr>
            <w:r w:rsidRPr="009B12FF">
              <w:rPr>
                <w:rFonts w:ascii="Arial" w:hAnsi="Arial" w:cs="Arial"/>
                <w:sz w:val="22"/>
                <w:szCs w:val="22"/>
              </w:rPr>
              <w:t>2</w:t>
            </w:r>
          </w:p>
        </w:tc>
        <w:tc>
          <w:tcPr>
            <w:tcW w:w="2268" w:type="dxa"/>
          </w:tcPr>
          <w:p w:rsidR="00131C68" w:rsidRPr="009B12FF" w:rsidRDefault="00131C68" w:rsidP="00FF362A">
            <w:pPr>
              <w:jc w:val="center"/>
              <w:rPr>
                <w:rFonts w:ascii="Arial" w:hAnsi="Arial" w:cs="Arial"/>
                <w:sz w:val="22"/>
                <w:szCs w:val="22"/>
              </w:rPr>
            </w:pPr>
            <w:r w:rsidRPr="009B12FF">
              <w:rPr>
                <w:rFonts w:ascii="Arial" w:hAnsi="Arial" w:cs="Arial"/>
                <w:sz w:val="22"/>
                <w:szCs w:val="22"/>
              </w:rPr>
              <w:t>79.750.000</w:t>
            </w:r>
          </w:p>
        </w:tc>
      </w:tr>
      <w:tr w:rsidR="00131C68" w:rsidRPr="009B12FF" w:rsidTr="005E7634">
        <w:tc>
          <w:tcPr>
            <w:tcW w:w="3544" w:type="dxa"/>
          </w:tcPr>
          <w:p w:rsidR="00131C68" w:rsidRPr="009B12FF" w:rsidRDefault="00131C68" w:rsidP="00FF362A">
            <w:pPr>
              <w:rPr>
                <w:rFonts w:ascii="Arial" w:hAnsi="Arial" w:cs="Arial"/>
                <w:sz w:val="22"/>
                <w:szCs w:val="22"/>
              </w:rPr>
            </w:pPr>
            <w:r w:rsidRPr="009B12FF">
              <w:rPr>
                <w:rFonts w:ascii="Arial" w:hAnsi="Arial" w:cs="Arial"/>
                <w:sz w:val="22"/>
                <w:szCs w:val="22"/>
              </w:rPr>
              <w:t>Virus HIV/SIDA</w:t>
            </w:r>
          </w:p>
        </w:tc>
        <w:tc>
          <w:tcPr>
            <w:tcW w:w="2977" w:type="dxa"/>
          </w:tcPr>
          <w:p w:rsidR="00131C68" w:rsidRPr="009B12FF" w:rsidRDefault="00131C68" w:rsidP="00FF362A">
            <w:pPr>
              <w:jc w:val="center"/>
              <w:rPr>
                <w:rFonts w:ascii="Arial" w:hAnsi="Arial" w:cs="Arial"/>
                <w:sz w:val="22"/>
                <w:szCs w:val="22"/>
              </w:rPr>
            </w:pPr>
            <w:r w:rsidRPr="009B12FF">
              <w:rPr>
                <w:rFonts w:ascii="Arial" w:hAnsi="Arial" w:cs="Arial"/>
                <w:sz w:val="22"/>
                <w:szCs w:val="22"/>
              </w:rPr>
              <w:t>1</w:t>
            </w:r>
          </w:p>
        </w:tc>
        <w:tc>
          <w:tcPr>
            <w:tcW w:w="2268" w:type="dxa"/>
          </w:tcPr>
          <w:p w:rsidR="00131C68" w:rsidRPr="009B12FF" w:rsidRDefault="00131C68" w:rsidP="00FF362A">
            <w:pPr>
              <w:jc w:val="center"/>
              <w:rPr>
                <w:rFonts w:ascii="Arial" w:hAnsi="Arial" w:cs="Arial"/>
                <w:sz w:val="22"/>
                <w:szCs w:val="22"/>
              </w:rPr>
            </w:pPr>
            <w:r w:rsidRPr="009B12FF">
              <w:rPr>
                <w:rFonts w:ascii="Arial" w:hAnsi="Arial" w:cs="Arial"/>
                <w:sz w:val="22"/>
                <w:szCs w:val="22"/>
              </w:rPr>
              <w:t>16.986.000</w:t>
            </w:r>
          </w:p>
        </w:tc>
      </w:tr>
      <w:tr w:rsidR="00131C68" w:rsidRPr="009B12FF" w:rsidTr="005E7634">
        <w:tc>
          <w:tcPr>
            <w:tcW w:w="3544" w:type="dxa"/>
          </w:tcPr>
          <w:p w:rsidR="00131C68" w:rsidRPr="009B12FF" w:rsidRDefault="00131C68" w:rsidP="00FF362A">
            <w:pPr>
              <w:rPr>
                <w:rFonts w:ascii="Arial" w:hAnsi="Arial" w:cs="Arial"/>
                <w:sz w:val="22"/>
                <w:szCs w:val="22"/>
              </w:rPr>
            </w:pPr>
            <w:r w:rsidRPr="009B12FF">
              <w:rPr>
                <w:rFonts w:ascii="Arial" w:hAnsi="Arial" w:cs="Arial"/>
                <w:sz w:val="22"/>
                <w:szCs w:val="22"/>
              </w:rPr>
              <w:t>Atención del Cáncer</w:t>
            </w:r>
          </w:p>
        </w:tc>
        <w:tc>
          <w:tcPr>
            <w:tcW w:w="2977" w:type="dxa"/>
          </w:tcPr>
          <w:p w:rsidR="00131C68" w:rsidRPr="009B12FF" w:rsidRDefault="00131C68" w:rsidP="00FF362A">
            <w:pPr>
              <w:jc w:val="center"/>
              <w:rPr>
                <w:rFonts w:ascii="Arial" w:hAnsi="Arial" w:cs="Arial"/>
                <w:sz w:val="22"/>
                <w:szCs w:val="22"/>
              </w:rPr>
            </w:pPr>
            <w:r w:rsidRPr="009B12FF">
              <w:rPr>
                <w:rFonts w:ascii="Arial" w:hAnsi="Arial" w:cs="Arial"/>
                <w:sz w:val="22"/>
                <w:szCs w:val="22"/>
              </w:rPr>
              <w:t>1</w:t>
            </w:r>
          </w:p>
        </w:tc>
        <w:tc>
          <w:tcPr>
            <w:tcW w:w="2268" w:type="dxa"/>
          </w:tcPr>
          <w:p w:rsidR="00131C68" w:rsidRPr="009B12FF" w:rsidRDefault="00131C68" w:rsidP="00FF362A">
            <w:pPr>
              <w:jc w:val="center"/>
              <w:rPr>
                <w:rFonts w:ascii="Arial" w:hAnsi="Arial" w:cs="Arial"/>
                <w:sz w:val="22"/>
                <w:szCs w:val="22"/>
              </w:rPr>
            </w:pPr>
            <w:r w:rsidRPr="009B12FF">
              <w:rPr>
                <w:rFonts w:ascii="Arial" w:hAnsi="Arial" w:cs="Arial"/>
                <w:sz w:val="22"/>
                <w:szCs w:val="22"/>
              </w:rPr>
              <w:t>5.303.000</w:t>
            </w:r>
          </w:p>
        </w:tc>
      </w:tr>
      <w:tr w:rsidR="00131C68" w:rsidRPr="009B12FF" w:rsidTr="005E7634">
        <w:tc>
          <w:tcPr>
            <w:tcW w:w="3544" w:type="dxa"/>
          </w:tcPr>
          <w:p w:rsidR="00131C68" w:rsidRPr="009B12FF" w:rsidRDefault="00131C68" w:rsidP="00FF362A">
            <w:pPr>
              <w:jc w:val="center"/>
              <w:rPr>
                <w:rFonts w:ascii="Arial" w:hAnsi="Arial" w:cs="Arial"/>
                <w:b/>
                <w:sz w:val="22"/>
                <w:szCs w:val="22"/>
              </w:rPr>
            </w:pPr>
            <w:r w:rsidRPr="009B12FF">
              <w:rPr>
                <w:rFonts w:ascii="Arial" w:hAnsi="Arial" w:cs="Arial"/>
                <w:b/>
                <w:sz w:val="22"/>
                <w:szCs w:val="22"/>
              </w:rPr>
              <w:t>Totales</w:t>
            </w:r>
          </w:p>
        </w:tc>
        <w:tc>
          <w:tcPr>
            <w:tcW w:w="2977" w:type="dxa"/>
          </w:tcPr>
          <w:p w:rsidR="00131C68" w:rsidRPr="009B12FF" w:rsidRDefault="00131C68" w:rsidP="00FF362A">
            <w:pPr>
              <w:jc w:val="center"/>
              <w:rPr>
                <w:rFonts w:ascii="Arial" w:hAnsi="Arial" w:cs="Arial"/>
                <w:b/>
                <w:sz w:val="22"/>
                <w:szCs w:val="22"/>
              </w:rPr>
            </w:pPr>
            <w:r w:rsidRPr="009B12FF">
              <w:rPr>
                <w:rFonts w:ascii="Arial" w:hAnsi="Arial" w:cs="Arial"/>
                <w:b/>
                <w:sz w:val="22"/>
                <w:szCs w:val="22"/>
              </w:rPr>
              <w:t>15</w:t>
            </w:r>
          </w:p>
        </w:tc>
        <w:tc>
          <w:tcPr>
            <w:tcW w:w="2268" w:type="dxa"/>
          </w:tcPr>
          <w:p w:rsidR="00131C68" w:rsidRPr="009B12FF" w:rsidRDefault="00131C68" w:rsidP="00FF362A">
            <w:pPr>
              <w:jc w:val="center"/>
              <w:rPr>
                <w:rFonts w:ascii="Arial" w:hAnsi="Arial" w:cs="Arial"/>
                <w:b/>
                <w:sz w:val="22"/>
                <w:szCs w:val="22"/>
              </w:rPr>
            </w:pPr>
            <w:r w:rsidRPr="009B12FF">
              <w:rPr>
                <w:rFonts w:ascii="Arial" w:hAnsi="Arial" w:cs="Arial"/>
                <w:b/>
                <w:sz w:val="22"/>
                <w:szCs w:val="22"/>
              </w:rPr>
              <w:t>¢</w:t>
            </w:r>
            <w:r w:rsidRPr="009B12FF">
              <w:rPr>
                <w:rFonts w:ascii="Arial" w:hAnsi="Arial" w:cs="Arial"/>
                <w:sz w:val="22"/>
                <w:szCs w:val="22"/>
              </w:rPr>
              <w:t xml:space="preserve"> </w:t>
            </w:r>
            <w:r w:rsidRPr="009B12FF">
              <w:rPr>
                <w:rFonts w:ascii="Arial" w:hAnsi="Arial" w:cs="Arial"/>
                <w:b/>
                <w:sz w:val="22"/>
                <w:szCs w:val="22"/>
              </w:rPr>
              <w:t>425.222.317</w:t>
            </w:r>
          </w:p>
        </w:tc>
      </w:tr>
    </w:tbl>
    <w:p w:rsidR="00921812" w:rsidRPr="009B12FF" w:rsidRDefault="006265FE" w:rsidP="00921812">
      <w:pPr>
        <w:jc w:val="both"/>
        <w:rPr>
          <w:rFonts w:ascii="Arial" w:hAnsi="Arial" w:cs="Arial"/>
          <w:b/>
          <w:sz w:val="14"/>
          <w:szCs w:val="14"/>
        </w:rPr>
      </w:pPr>
      <w:r w:rsidRPr="009B12FF">
        <w:rPr>
          <w:rFonts w:ascii="Arial" w:hAnsi="Arial" w:cs="Arial"/>
          <w:b/>
          <w:sz w:val="14"/>
          <w:szCs w:val="14"/>
        </w:rPr>
        <w:t>FI: GDS-017 del 09 de enero de 2014</w:t>
      </w:r>
    </w:p>
    <w:p w:rsidR="006265FE" w:rsidRPr="009B12FF" w:rsidRDefault="006265FE" w:rsidP="00921812">
      <w:pPr>
        <w:jc w:val="both"/>
        <w:rPr>
          <w:rFonts w:ascii="Tahoma" w:hAnsi="Tahoma" w:cs="Tahoma"/>
          <w:sz w:val="22"/>
          <w:szCs w:val="22"/>
        </w:rPr>
      </w:pPr>
    </w:p>
    <w:p w:rsidR="00131C68" w:rsidRPr="009B12FF" w:rsidRDefault="00131C68" w:rsidP="00FF362A">
      <w:pPr>
        <w:jc w:val="both"/>
        <w:rPr>
          <w:rFonts w:ascii="Arial" w:hAnsi="Arial" w:cs="Arial"/>
          <w:sz w:val="22"/>
          <w:szCs w:val="22"/>
        </w:rPr>
      </w:pPr>
      <w:r w:rsidRPr="009B12FF">
        <w:rPr>
          <w:rFonts w:ascii="Arial" w:hAnsi="Arial" w:cs="Arial"/>
          <w:sz w:val="22"/>
          <w:szCs w:val="22"/>
        </w:rPr>
        <w:t>Los tractos pendientes anteriormente mencionados serán girados durante el año 2014 dependiendo del correspondiente avance de obra.</w:t>
      </w:r>
    </w:p>
    <w:p w:rsidR="00131C68" w:rsidRPr="009B12FF" w:rsidRDefault="00131C68" w:rsidP="00FF362A">
      <w:pPr>
        <w:jc w:val="both"/>
        <w:rPr>
          <w:rFonts w:ascii="Arial" w:hAnsi="Arial" w:cs="Arial"/>
          <w:sz w:val="22"/>
          <w:szCs w:val="22"/>
        </w:rPr>
      </w:pPr>
    </w:p>
    <w:p w:rsidR="00131C68" w:rsidRPr="009B12FF" w:rsidRDefault="00131C68" w:rsidP="00FF362A">
      <w:pPr>
        <w:jc w:val="both"/>
        <w:rPr>
          <w:rFonts w:ascii="Arial" w:hAnsi="Arial" w:cs="Arial"/>
          <w:color w:val="000000" w:themeColor="text1"/>
          <w:sz w:val="22"/>
          <w:szCs w:val="22"/>
        </w:rPr>
      </w:pPr>
      <w:r w:rsidRPr="009B12FF">
        <w:rPr>
          <w:rFonts w:ascii="Arial" w:hAnsi="Arial" w:cs="Arial"/>
          <w:color w:val="000000" w:themeColor="text1"/>
          <w:sz w:val="22"/>
          <w:szCs w:val="22"/>
        </w:rPr>
        <w:t xml:space="preserve">Es de suma importancia indicar que lo girado durante el año 2013 asciende a </w:t>
      </w:r>
      <w:r w:rsidRPr="009B12FF">
        <w:rPr>
          <w:rFonts w:ascii="Arial" w:hAnsi="Arial" w:cs="Arial"/>
          <w:sz w:val="22"/>
          <w:szCs w:val="22"/>
        </w:rPr>
        <w:t xml:space="preserve">¢7.051.959.953 </w:t>
      </w:r>
      <w:r w:rsidRPr="009B12FF">
        <w:rPr>
          <w:rFonts w:ascii="Arial" w:hAnsi="Arial" w:cs="Arial"/>
          <w:color w:val="000000" w:themeColor="text1"/>
          <w:sz w:val="22"/>
          <w:szCs w:val="22"/>
        </w:rPr>
        <w:t xml:space="preserve">y los tractos pendientes a </w:t>
      </w:r>
      <w:r w:rsidRPr="009B12FF">
        <w:rPr>
          <w:rFonts w:ascii="Arial" w:hAnsi="Arial" w:cs="Arial"/>
          <w:sz w:val="22"/>
          <w:szCs w:val="22"/>
        </w:rPr>
        <w:t>¢425.222.317</w:t>
      </w:r>
      <w:r w:rsidRPr="009B12FF">
        <w:rPr>
          <w:rFonts w:ascii="Arial" w:hAnsi="Arial" w:cs="Arial"/>
          <w:color w:val="000000" w:themeColor="text1"/>
          <w:sz w:val="22"/>
          <w:szCs w:val="22"/>
        </w:rPr>
        <w:t xml:space="preserve">, ambos rubros suman un total de </w:t>
      </w:r>
      <w:r w:rsidRPr="009B12FF">
        <w:rPr>
          <w:rFonts w:ascii="Arial" w:hAnsi="Arial" w:cs="Arial"/>
          <w:sz w:val="22"/>
          <w:szCs w:val="22"/>
        </w:rPr>
        <w:t>¢7.477.182.270</w:t>
      </w:r>
      <w:r w:rsidRPr="009B12FF">
        <w:rPr>
          <w:rFonts w:ascii="Arial" w:hAnsi="Arial" w:cs="Arial"/>
          <w:color w:val="000000" w:themeColor="text1"/>
          <w:sz w:val="22"/>
          <w:szCs w:val="22"/>
        </w:rPr>
        <w:t xml:space="preserve">; monto que con respecto a las utilidades disponibles de </w:t>
      </w:r>
      <w:r w:rsidRPr="009B12FF">
        <w:rPr>
          <w:rFonts w:ascii="Arial" w:hAnsi="Arial" w:cs="Arial"/>
          <w:sz w:val="22"/>
          <w:szCs w:val="22"/>
        </w:rPr>
        <w:t xml:space="preserve">¢11.493.512.576, </w:t>
      </w:r>
      <w:r w:rsidRPr="009B12FF">
        <w:rPr>
          <w:rFonts w:ascii="Arial" w:hAnsi="Arial" w:cs="Arial"/>
          <w:color w:val="000000" w:themeColor="text1"/>
          <w:sz w:val="22"/>
          <w:szCs w:val="22"/>
        </w:rPr>
        <w:t xml:space="preserve">representa un </w:t>
      </w:r>
      <w:r w:rsidRPr="009B12FF">
        <w:rPr>
          <w:rFonts w:ascii="Arial" w:hAnsi="Arial" w:cs="Arial"/>
          <w:sz w:val="22"/>
          <w:szCs w:val="22"/>
        </w:rPr>
        <w:t xml:space="preserve">83.4% </w:t>
      </w:r>
      <w:r w:rsidRPr="009B12FF">
        <w:rPr>
          <w:rFonts w:ascii="Arial" w:hAnsi="Arial" w:cs="Arial"/>
          <w:color w:val="000000" w:themeColor="text1"/>
          <w:sz w:val="22"/>
          <w:szCs w:val="22"/>
        </w:rPr>
        <w:t>de cumplimiento de la meta por encima de lo esperado en la proyección.</w:t>
      </w:r>
    </w:p>
    <w:p w:rsidR="00131C68" w:rsidRPr="009B12FF" w:rsidRDefault="00131C68" w:rsidP="00FF362A">
      <w:pPr>
        <w:jc w:val="both"/>
        <w:rPr>
          <w:rFonts w:ascii="Arial" w:hAnsi="Arial" w:cs="Arial"/>
          <w:sz w:val="22"/>
          <w:szCs w:val="22"/>
        </w:rPr>
      </w:pPr>
    </w:p>
    <w:p w:rsidR="00131C68" w:rsidRPr="009B12FF" w:rsidRDefault="00131C68" w:rsidP="00FF362A">
      <w:pPr>
        <w:jc w:val="both"/>
        <w:rPr>
          <w:rFonts w:ascii="Arial" w:hAnsi="Arial" w:cs="Arial"/>
          <w:b/>
          <w:color w:val="000000" w:themeColor="text1"/>
          <w:sz w:val="22"/>
          <w:szCs w:val="22"/>
        </w:rPr>
      </w:pPr>
      <w:r w:rsidRPr="009B12FF">
        <w:rPr>
          <w:rFonts w:ascii="Arial" w:hAnsi="Arial" w:cs="Arial"/>
          <w:b/>
          <w:color w:val="000000" w:themeColor="text1"/>
          <w:sz w:val="22"/>
          <w:szCs w:val="22"/>
        </w:rPr>
        <w:t>Aspectos positivos internos</w:t>
      </w:r>
    </w:p>
    <w:p w:rsidR="00FA2EAA" w:rsidRPr="009B12FF" w:rsidRDefault="00FA2EAA" w:rsidP="00FF362A">
      <w:pPr>
        <w:jc w:val="both"/>
        <w:rPr>
          <w:rFonts w:ascii="Arial" w:hAnsi="Arial" w:cs="Arial"/>
          <w:b/>
          <w:color w:val="000000" w:themeColor="text1"/>
          <w:sz w:val="22"/>
          <w:szCs w:val="22"/>
        </w:rPr>
      </w:pPr>
    </w:p>
    <w:p w:rsidR="00131C68" w:rsidRPr="009B12FF" w:rsidRDefault="00131C68" w:rsidP="00FF362A">
      <w:pPr>
        <w:jc w:val="both"/>
        <w:rPr>
          <w:rFonts w:ascii="Arial" w:hAnsi="Arial" w:cs="Arial"/>
          <w:sz w:val="22"/>
          <w:szCs w:val="22"/>
        </w:rPr>
      </w:pPr>
      <w:r w:rsidRPr="009B12FF">
        <w:rPr>
          <w:rFonts w:ascii="Arial" w:hAnsi="Arial" w:cs="Arial"/>
          <w:sz w:val="22"/>
          <w:szCs w:val="22"/>
        </w:rPr>
        <w:t>Con la incorporación de personal técnico en las áreas de ingeniería y contabilidad, se está dando apoyo a la agilización de los trámites de aprobación de los proyectos específicos, reduciendo su tiempo de aprobación final.  Mediante oficio G-1430-2011  la Gerencia General solicita a la Secretaría Técnica de la Autoridad Presupuestaria la justificación de la conversión de puestos de servicios especiales a cargos fijos y mediante STAP-1520-2011, dicha Secretaría autoriza a la Junta de Protección Social trasladar las plazas a cargos fijos, lo cual conlleva el aseguramiento de la atención de los proyectos y actividades inherentes a la función de traslado de recursos a los programas sociales que se atienden.</w:t>
      </w:r>
    </w:p>
    <w:p w:rsidR="00131C68" w:rsidRPr="009B12FF" w:rsidRDefault="00131C68" w:rsidP="00FF362A">
      <w:pPr>
        <w:jc w:val="both"/>
        <w:rPr>
          <w:rFonts w:ascii="Arial" w:hAnsi="Arial" w:cs="Arial"/>
          <w:sz w:val="22"/>
          <w:szCs w:val="22"/>
        </w:rPr>
      </w:pPr>
    </w:p>
    <w:p w:rsidR="00131C68" w:rsidRPr="009B12FF" w:rsidRDefault="00131C68" w:rsidP="00FF362A">
      <w:pPr>
        <w:jc w:val="both"/>
        <w:rPr>
          <w:rFonts w:ascii="Arial" w:hAnsi="Arial" w:cs="Arial"/>
          <w:b/>
          <w:sz w:val="22"/>
          <w:szCs w:val="22"/>
        </w:rPr>
      </w:pPr>
      <w:r w:rsidRPr="009B12FF">
        <w:rPr>
          <w:rFonts w:ascii="Arial" w:hAnsi="Arial" w:cs="Arial"/>
          <w:b/>
          <w:sz w:val="22"/>
          <w:szCs w:val="22"/>
        </w:rPr>
        <w:t>Aspectos negativos internos</w:t>
      </w:r>
    </w:p>
    <w:p w:rsidR="00FA2EAA" w:rsidRPr="009B12FF" w:rsidRDefault="00FA2EAA" w:rsidP="00FF362A">
      <w:pPr>
        <w:jc w:val="both"/>
        <w:rPr>
          <w:rFonts w:ascii="Arial" w:hAnsi="Arial" w:cs="Arial"/>
          <w:b/>
          <w:sz w:val="22"/>
          <w:szCs w:val="22"/>
        </w:rPr>
      </w:pPr>
    </w:p>
    <w:p w:rsidR="00131C68" w:rsidRPr="009B12FF" w:rsidRDefault="00131C68" w:rsidP="00FF362A">
      <w:pPr>
        <w:jc w:val="both"/>
        <w:rPr>
          <w:rFonts w:ascii="Arial" w:hAnsi="Arial" w:cs="Arial"/>
          <w:sz w:val="22"/>
          <w:szCs w:val="22"/>
        </w:rPr>
      </w:pPr>
      <w:r w:rsidRPr="009B12FF">
        <w:rPr>
          <w:rFonts w:ascii="Arial" w:hAnsi="Arial" w:cs="Arial"/>
          <w:sz w:val="22"/>
          <w:szCs w:val="22"/>
        </w:rPr>
        <w:t>En virtud de que no existe información histórica del indicador, no se ha logrado establecer cuál es el porcentaje aceptable de cumplimiento, en cuanto de los plazos de trámite de los proyectos y la generación mensual de utilidades para su financiamiento ya que, se materializan (por su cuantía) en el último trimestre del año. Situación que incide que los recursos de los proyectos sean transferidos en el período, máxime aquellos de orden constructivo.</w:t>
      </w:r>
    </w:p>
    <w:p w:rsidR="00131C68" w:rsidRPr="009B12FF" w:rsidRDefault="00131C68" w:rsidP="00FF362A">
      <w:pPr>
        <w:jc w:val="both"/>
        <w:rPr>
          <w:rFonts w:ascii="Arial" w:hAnsi="Arial" w:cs="Arial"/>
          <w:sz w:val="22"/>
          <w:szCs w:val="22"/>
        </w:rPr>
      </w:pPr>
    </w:p>
    <w:p w:rsidR="00131C68" w:rsidRPr="009B12FF" w:rsidRDefault="00131C68" w:rsidP="00FF362A">
      <w:pPr>
        <w:jc w:val="both"/>
        <w:rPr>
          <w:rFonts w:ascii="Arial" w:hAnsi="Arial" w:cs="Arial"/>
          <w:b/>
          <w:sz w:val="22"/>
          <w:szCs w:val="22"/>
        </w:rPr>
      </w:pPr>
      <w:r w:rsidRPr="009B12FF">
        <w:rPr>
          <w:rFonts w:ascii="Arial" w:hAnsi="Arial" w:cs="Arial"/>
          <w:b/>
          <w:sz w:val="22"/>
          <w:szCs w:val="22"/>
        </w:rPr>
        <w:t>Aspectos negativos externos</w:t>
      </w:r>
    </w:p>
    <w:p w:rsidR="00FA2EAA" w:rsidRPr="009B12FF" w:rsidRDefault="00FA2EAA" w:rsidP="00FF362A">
      <w:pPr>
        <w:jc w:val="both"/>
        <w:rPr>
          <w:rFonts w:ascii="Arial" w:hAnsi="Arial" w:cs="Arial"/>
          <w:b/>
          <w:sz w:val="22"/>
          <w:szCs w:val="22"/>
        </w:rPr>
      </w:pPr>
    </w:p>
    <w:p w:rsidR="00131C68" w:rsidRPr="009B12FF" w:rsidRDefault="00131C68" w:rsidP="00FF362A">
      <w:pPr>
        <w:jc w:val="both"/>
        <w:rPr>
          <w:rFonts w:ascii="Arial" w:hAnsi="Arial" w:cs="Arial"/>
          <w:sz w:val="22"/>
          <w:szCs w:val="22"/>
        </w:rPr>
      </w:pPr>
      <w:r w:rsidRPr="009B12FF">
        <w:rPr>
          <w:rFonts w:ascii="Arial" w:hAnsi="Arial" w:cs="Arial"/>
          <w:sz w:val="22"/>
          <w:szCs w:val="22"/>
        </w:rPr>
        <w:t>No obstante la coordinación con diferentes entres rectores desde enero de 2013, en varias ocasiones varios proyectos no tuvieron oportunamente el aval correspondiente.</w:t>
      </w:r>
    </w:p>
    <w:p w:rsidR="00131C68" w:rsidRPr="009B12FF" w:rsidRDefault="00131C68" w:rsidP="00FF362A">
      <w:pPr>
        <w:jc w:val="both"/>
        <w:rPr>
          <w:rFonts w:ascii="Arial" w:hAnsi="Arial" w:cs="Arial"/>
          <w:sz w:val="22"/>
          <w:szCs w:val="22"/>
        </w:rPr>
      </w:pPr>
    </w:p>
    <w:p w:rsidR="00131C68" w:rsidRPr="009B12FF" w:rsidRDefault="00131C68" w:rsidP="00FF362A">
      <w:pPr>
        <w:jc w:val="both"/>
        <w:rPr>
          <w:rFonts w:ascii="Arial" w:hAnsi="Arial" w:cs="Arial"/>
          <w:sz w:val="22"/>
          <w:szCs w:val="22"/>
        </w:rPr>
      </w:pPr>
      <w:r w:rsidRPr="009B12FF">
        <w:rPr>
          <w:rFonts w:ascii="Arial" w:hAnsi="Arial" w:cs="Arial"/>
          <w:sz w:val="22"/>
          <w:szCs w:val="22"/>
        </w:rPr>
        <w:t>La presentación tardía de los requisitos que se solicitan a las organizaciones sociales para la consolidación de los proyectos específicos, así como la suficiente generación de utilidades incidió que éstos sean trasladados para el período 2014, con un monto aproximado de ¢2.717.984.130, según se detalla a continuación:</w:t>
      </w:r>
    </w:p>
    <w:p w:rsidR="00160C23" w:rsidRPr="009B12FF" w:rsidRDefault="00160C23" w:rsidP="00FF362A">
      <w:pPr>
        <w:jc w:val="both"/>
        <w:rPr>
          <w:rFonts w:ascii="Arial" w:hAnsi="Arial" w:cs="Arial"/>
          <w:sz w:val="22"/>
          <w:szCs w:val="22"/>
        </w:rPr>
      </w:pPr>
    </w:p>
    <w:tbl>
      <w:tblPr>
        <w:tblStyle w:val="Tablaconcuadrcula"/>
        <w:tblW w:w="0" w:type="auto"/>
        <w:tblLook w:val="04A0" w:firstRow="1" w:lastRow="0" w:firstColumn="1" w:lastColumn="0" w:noHBand="0" w:noVBand="1"/>
      </w:tblPr>
      <w:tblGrid>
        <w:gridCol w:w="3471"/>
        <w:gridCol w:w="3434"/>
        <w:gridCol w:w="1958"/>
      </w:tblGrid>
      <w:tr w:rsidR="00131C68" w:rsidRPr="009B12FF" w:rsidTr="00610B62">
        <w:tc>
          <w:tcPr>
            <w:tcW w:w="3471" w:type="dxa"/>
          </w:tcPr>
          <w:p w:rsidR="00131C68" w:rsidRPr="009B12FF" w:rsidRDefault="00131C68" w:rsidP="00FF362A">
            <w:pPr>
              <w:jc w:val="center"/>
              <w:rPr>
                <w:rFonts w:ascii="Arial" w:hAnsi="Arial" w:cs="Arial"/>
                <w:b/>
                <w:sz w:val="22"/>
                <w:szCs w:val="22"/>
              </w:rPr>
            </w:pPr>
            <w:r w:rsidRPr="009B12FF">
              <w:rPr>
                <w:rFonts w:ascii="Arial" w:hAnsi="Arial" w:cs="Arial"/>
                <w:b/>
                <w:sz w:val="22"/>
                <w:szCs w:val="22"/>
              </w:rPr>
              <w:t>PROGRAMA</w:t>
            </w:r>
          </w:p>
        </w:tc>
        <w:tc>
          <w:tcPr>
            <w:tcW w:w="3434" w:type="dxa"/>
          </w:tcPr>
          <w:p w:rsidR="00131C68" w:rsidRPr="009B12FF" w:rsidRDefault="00131C68" w:rsidP="00FF362A">
            <w:pPr>
              <w:jc w:val="center"/>
              <w:rPr>
                <w:rFonts w:ascii="Arial" w:hAnsi="Arial" w:cs="Arial"/>
                <w:b/>
                <w:sz w:val="22"/>
                <w:szCs w:val="22"/>
              </w:rPr>
            </w:pPr>
            <w:r w:rsidRPr="009B12FF">
              <w:rPr>
                <w:rFonts w:ascii="Arial" w:hAnsi="Arial" w:cs="Arial"/>
                <w:b/>
                <w:sz w:val="22"/>
                <w:szCs w:val="22"/>
              </w:rPr>
              <w:t>CANTIDAD DE PROYECTOS</w:t>
            </w:r>
          </w:p>
        </w:tc>
        <w:tc>
          <w:tcPr>
            <w:tcW w:w="1958" w:type="dxa"/>
          </w:tcPr>
          <w:p w:rsidR="00131C68" w:rsidRPr="009B12FF" w:rsidRDefault="00131C68" w:rsidP="00FF362A">
            <w:pPr>
              <w:jc w:val="center"/>
              <w:rPr>
                <w:rFonts w:ascii="Arial" w:hAnsi="Arial" w:cs="Arial"/>
                <w:b/>
                <w:sz w:val="22"/>
                <w:szCs w:val="22"/>
              </w:rPr>
            </w:pPr>
            <w:r w:rsidRPr="009B12FF">
              <w:rPr>
                <w:rFonts w:ascii="Arial" w:hAnsi="Arial" w:cs="Arial"/>
                <w:b/>
                <w:sz w:val="22"/>
                <w:szCs w:val="22"/>
              </w:rPr>
              <w:t>MONTO</w:t>
            </w:r>
          </w:p>
        </w:tc>
      </w:tr>
      <w:tr w:rsidR="00131C68" w:rsidRPr="009B12FF" w:rsidTr="00610B62">
        <w:tc>
          <w:tcPr>
            <w:tcW w:w="3471" w:type="dxa"/>
          </w:tcPr>
          <w:p w:rsidR="00131C68" w:rsidRPr="009B12FF" w:rsidRDefault="00131C68" w:rsidP="00FF362A">
            <w:pPr>
              <w:jc w:val="both"/>
              <w:rPr>
                <w:rFonts w:ascii="Arial" w:hAnsi="Arial" w:cs="Arial"/>
                <w:sz w:val="22"/>
                <w:szCs w:val="22"/>
              </w:rPr>
            </w:pPr>
            <w:r w:rsidRPr="009B12FF">
              <w:rPr>
                <w:rFonts w:ascii="Arial" w:hAnsi="Arial" w:cs="Arial"/>
                <w:sz w:val="22"/>
                <w:szCs w:val="22"/>
              </w:rPr>
              <w:t>Hogares de Ancianos</w:t>
            </w:r>
          </w:p>
        </w:tc>
        <w:tc>
          <w:tcPr>
            <w:tcW w:w="3434" w:type="dxa"/>
          </w:tcPr>
          <w:p w:rsidR="00131C68" w:rsidRPr="009B12FF" w:rsidRDefault="00131C68" w:rsidP="00FF362A">
            <w:pPr>
              <w:jc w:val="center"/>
              <w:rPr>
                <w:rFonts w:ascii="Arial" w:hAnsi="Arial" w:cs="Arial"/>
                <w:sz w:val="22"/>
                <w:szCs w:val="22"/>
              </w:rPr>
            </w:pPr>
            <w:r w:rsidRPr="009B12FF">
              <w:rPr>
                <w:rFonts w:ascii="Arial" w:hAnsi="Arial" w:cs="Arial"/>
                <w:sz w:val="22"/>
                <w:szCs w:val="22"/>
              </w:rPr>
              <w:t>13</w:t>
            </w:r>
          </w:p>
        </w:tc>
        <w:tc>
          <w:tcPr>
            <w:tcW w:w="1958" w:type="dxa"/>
          </w:tcPr>
          <w:p w:rsidR="00131C68" w:rsidRPr="009B12FF" w:rsidRDefault="00131C68" w:rsidP="00FF362A">
            <w:pPr>
              <w:jc w:val="right"/>
              <w:rPr>
                <w:rFonts w:ascii="Arial" w:hAnsi="Arial" w:cs="Arial"/>
                <w:sz w:val="22"/>
                <w:szCs w:val="22"/>
              </w:rPr>
            </w:pPr>
            <w:r w:rsidRPr="009B12FF">
              <w:rPr>
                <w:rFonts w:ascii="Arial" w:hAnsi="Arial" w:cs="Arial"/>
                <w:sz w:val="22"/>
                <w:szCs w:val="22"/>
              </w:rPr>
              <w:t>512.709.000</w:t>
            </w:r>
          </w:p>
        </w:tc>
      </w:tr>
      <w:tr w:rsidR="00131C68" w:rsidRPr="009B12FF" w:rsidTr="00610B62">
        <w:tc>
          <w:tcPr>
            <w:tcW w:w="3471" w:type="dxa"/>
          </w:tcPr>
          <w:p w:rsidR="00131C68" w:rsidRPr="009B12FF" w:rsidRDefault="00131C68" w:rsidP="00FF362A">
            <w:pPr>
              <w:jc w:val="both"/>
              <w:rPr>
                <w:rFonts w:ascii="Arial" w:hAnsi="Arial" w:cs="Arial"/>
                <w:sz w:val="22"/>
                <w:szCs w:val="22"/>
              </w:rPr>
            </w:pPr>
            <w:r w:rsidRPr="009B12FF">
              <w:rPr>
                <w:rFonts w:ascii="Arial" w:hAnsi="Arial" w:cs="Arial"/>
                <w:sz w:val="22"/>
                <w:szCs w:val="22"/>
              </w:rPr>
              <w:t>Centros Diurnos</w:t>
            </w:r>
          </w:p>
        </w:tc>
        <w:tc>
          <w:tcPr>
            <w:tcW w:w="3434" w:type="dxa"/>
          </w:tcPr>
          <w:p w:rsidR="00131C68" w:rsidRPr="009B12FF" w:rsidRDefault="00131C68" w:rsidP="00FF362A">
            <w:pPr>
              <w:jc w:val="center"/>
              <w:rPr>
                <w:rFonts w:ascii="Arial" w:hAnsi="Arial" w:cs="Arial"/>
                <w:sz w:val="22"/>
                <w:szCs w:val="22"/>
              </w:rPr>
            </w:pPr>
            <w:r w:rsidRPr="009B12FF">
              <w:rPr>
                <w:rFonts w:ascii="Arial" w:hAnsi="Arial" w:cs="Arial"/>
                <w:sz w:val="22"/>
                <w:szCs w:val="22"/>
              </w:rPr>
              <w:t>7</w:t>
            </w:r>
          </w:p>
        </w:tc>
        <w:tc>
          <w:tcPr>
            <w:tcW w:w="1958" w:type="dxa"/>
          </w:tcPr>
          <w:p w:rsidR="00131C68" w:rsidRPr="009B12FF" w:rsidRDefault="00131C68" w:rsidP="00FF362A">
            <w:pPr>
              <w:jc w:val="right"/>
              <w:rPr>
                <w:rFonts w:ascii="Arial" w:hAnsi="Arial" w:cs="Arial"/>
                <w:sz w:val="22"/>
                <w:szCs w:val="22"/>
              </w:rPr>
            </w:pPr>
            <w:r w:rsidRPr="009B12FF">
              <w:rPr>
                <w:rFonts w:ascii="Arial" w:hAnsi="Arial" w:cs="Arial"/>
                <w:sz w:val="22"/>
                <w:szCs w:val="22"/>
              </w:rPr>
              <w:t>295.903.130</w:t>
            </w:r>
          </w:p>
        </w:tc>
      </w:tr>
      <w:tr w:rsidR="00131C68" w:rsidRPr="009B12FF" w:rsidTr="00610B62">
        <w:tc>
          <w:tcPr>
            <w:tcW w:w="3471" w:type="dxa"/>
          </w:tcPr>
          <w:p w:rsidR="00131C68" w:rsidRPr="009B12FF" w:rsidRDefault="00131C68" w:rsidP="00FF362A">
            <w:pPr>
              <w:jc w:val="both"/>
              <w:rPr>
                <w:rFonts w:ascii="Arial" w:hAnsi="Arial" w:cs="Arial"/>
                <w:sz w:val="22"/>
                <w:szCs w:val="22"/>
              </w:rPr>
            </w:pPr>
            <w:r w:rsidRPr="009B12FF">
              <w:rPr>
                <w:rFonts w:ascii="Arial" w:hAnsi="Arial" w:cs="Arial"/>
                <w:sz w:val="22"/>
                <w:szCs w:val="22"/>
              </w:rPr>
              <w:t>Farmacodependencia</w:t>
            </w:r>
          </w:p>
        </w:tc>
        <w:tc>
          <w:tcPr>
            <w:tcW w:w="3434" w:type="dxa"/>
          </w:tcPr>
          <w:p w:rsidR="00131C68" w:rsidRPr="009B12FF" w:rsidRDefault="00131C68" w:rsidP="00FF362A">
            <w:pPr>
              <w:jc w:val="center"/>
              <w:rPr>
                <w:rFonts w:ascii="Arial" w:hAnsi="Arial" w:cs="Arial"/>
                <w:sz w:val="22"/>
                <w:szCs w:val="22"/>
              </w:rPr>
            </w:pPr>
            <w:r w:rsidRPr="009B12FF">
              <w:rPr>
                <w:rFonts w:ascii="Arial" w:hAnsi="Arial" w:cs="Arial"/>
                <w:sz w:val="22"/>
                <w:szCs w:val="22"/>
              </w:rPr>
              <w:t>1</w:t>
            </w:r>
          </w:p>
        </w:tc>
        <w:tc>
          <w:tcPr>
            <w:tcW w:w="1958" w:type="dxa"/>
          </w:tcPr>
          <w:p w:rsidR="00131C68" w:rsidRPr="009B12FF" w:rsidRDefault="00131C68" w:rsidP="00FF362A">
            <w:pPr>
              <w:jc w:val="right"/>
              <w:rPr>
                <w:rFonts w:ascii="Arial" w:hAnsi="Arial" w:cs="Arial"/>
                <w:sz w:val="22"/>
                <w:szCs w:val="22"/>
              </w:rPr>
            </w:pPr>
            <w:r w:rsidRPr="009B12FF">
              <w:rPr>
                <w:rFonts w:ascii="Arial" w:hAnsi="Arial" w:cs="Arial"/>
                <w:sz w:val="22"/>
                <w:szCs w:val="22"/>
              </w:rPr>
              <w:t>8.801.000</w:t>
            </w:r>
          </w:p>
        </w:tc>
      </w:tr>
      <w:tr w:rsidR="00131C68" w:rsidRPr="009B12FF" w:rsidTr="00610B62">
        <w:tc>
          <w:tcPr>
            <w:tcW w:w="3471" w:type="dxa"/>
          </w:tcPr>
          <w:p w:rsidR="00131C68" w:rsidRPr="009B12FF" w:rsidRDefault="00131C68" w:rsidP="00FF362A">
            <w:pPr>
              <w:jc w:val="both"/>
              <w:rPr>
                <w:rFonts w:ascii="Arial" w:hAnsi="Arial" w:cs="Arial"/>
                <w:sz w:val="22"/>
                <w:szCs w:val="22"/>
              </w:rPr>
            </w:pPr>
            <w:r w:rsidRPr="009B12FF">
              <w:rPr>
                <w:rFonts w:ascii="Arial" w:hAnsi="Arial" w:cs="Arial"/>
                <w:sz w:val="22"/>
                <w:szCs w:val="22"/>
              </w:rPr>
              <w:t>Juntas Administrativas</w:t>
            </w:r>
          </w:p>
        </w:tc>
        <w:tc>
          <w:tcPr>
            <w:tcW w:w="3434" w:type="dxa"/>
          </w:tcPr>
          <w:p w:rsidR="00131C68" w:rsidRPr="009B12FF" w:rsidRDefault="00131C68" w:rsidP="00FF362A">
            <w:pPr>
              <w:jc w:val="center"/>
              <w:rPr>
                <w:rFonts w:ascii="Arial" w:hAnsi="Arial" w:cs="Arial"/>
                <w:sz w:val="22"/>
                <w:szCs w:val="22"/>
              </w:rPr>
            </w:pPr>
            <w:r w:rsidRPr="009B12FF">
              <w:rPr>
                <w:rFonts w:ascii="Arial" w:hAnsi="Arial" w:cs="Arial"/>
                <w:sz w:val="22"/>
                <w:szCs w:val="22"/>
              </w:rPr>
              <w:t>1</w:t>
            </w:r>
          </w:p>
        </w:tc>
        <w:tc>
          <w:tcPr>
            <w:tcW w:w="1958" w:type="dxa"/>
          </w:tcPr>
          <w:p w:rsidR="00131C68" w:rsidRPr="009B12FF" w:rsidRDefault="00131C68" w:rsidP="00FF362A">
            <w:pPr>
              <w:jc w:val="right"/>
              <w:rPr>
                <w:rFonts w:ascii="Arial" w:hAnsi="Arial" w:cs="Arial"/>
                <w:sz w:val="22"/>
                <w:szCs w:val="22"/>
              </w:rPr>
            </w:pPr>
            <w:r w:rsidRPr="009B12FF">
              <w:rPr>
                <w:rFonts w:ascii="Arial" w:hAnsi="Arial" w:cs="Arial"/>
                <w:sz w:val="22"/>
                <w:szCs w:val="22"/>
              </w:rPr>
              <w:t>87.000.000</w:t>
            </w:r>
          </w:p>
        </w:tc>
      </w:tr>
      <w:tr w:rsidR="00131C68" w:rsidRPr="009B12FF" w:rsidTr="00610B62">
        <w:tc>
          <w:tcPr>
            <w:tcW w:w="3471" w:type="dxa"/>
          </w:tcPr>
          <w:p w:rsidR="00131C68" w:rsidRPr="009B12FF" w:rsidRDefault="00131C68" w:rsidP="00FF362A">
            <w:pPr>
              <w:jc w:val="both"/>
              <w:rPr>
                <w:rFonts w:ascii="Arial" w:hAnsi="Arial" w:cs="Arial"/>
                <w:sz w:val="22"/>
                <w:szCs w:val="22"/>
              </w:rPr>
            </w:pPr>
            <w:r w:rsidRPr="009B12FF">
              <w:rPr>
                <w:rFonts w:ascii="Arial" w:hAnsi="Arial" w:cs="Arial"/>
                <w:sz w:val="22"/>
                <w:szCs w:val="22"/>
              </w:rPr>
              <w:t>Menores en Abandono</w:t>
            </w:r>
          </w:p>
        </w:tc>
        <w:tc>
          <w:tcPr>
            <w:tcW w:w="3434" w:type="dxa"/>
          </w:tcPr>
          <w:p w:rsidR="00131C68" w:rsidRPr="009B12FF" w:rsidRDefault="00131C68" w:rsidP="00FF362A">
            <w:pPr>
              <w:jc w:val="center"/>
              <w:rPr>
                <w:rFonts w:ascii="Arial" w:hAnsi="Arial" w:cs="Arial"/>
                <w:sz w:val="22"/>
                <w:szCs w:val="22"/>
              </w:rPr>
            </w:pPr>
            <w:r w:rsidRPr="009B12FF">
              <w:rPr>
                <w:rFonts w:ascii="Arial" w:hAnsi="Arial" w:cs="Arial"/>
                <w:sz w:val="22"/>
                <w:szCs w:val="22"/>
              </w:rPr>
              <w:t>3</w:t>
            </w:r>
          </w:p>
        </w:tc>
        <w:tc>
          <w:tcPr>
            <w:tcW w:w="1958" w:type="dxa"/>
          </w:tcPr>
          <w:p w:rsidR="00131C68" w:rsidRPr="009B12FF" w:rsidRDefault="00131C68" w:rsidP="00FF362A">
            <w:pPr>
              <w:jc w:val="right"/>
              <w:rPr>
                <w:rFonts w:ascii="Arial" w:hAnsi="Arial" w:cs="Arial"/>
                <w:sz w:val="22"/>
                <w:szCs w:val="22"/>
              </w:rPr>
            </w:pPr>
            <w:r w:rsidRPr="009B12FF">
              <w:rPr>
                <w:rFonts w:ascii="Arial" w:hAnsi="Arial" w:cs="Arial"/>
                <w:sz w:val="22"/>
                <w:szCs w:val="22"/>
              </w:rPr>
              <w:t>103.667.000</w:t>
            </w:r>
          </w:p>
        </w:tc>
      </w:tr>
      <w:tr w:rsidR="00131C68" w:rsidRPr="009B12FF" w:rsidTr="00610B62">
        <w:tc>
          <w:tcPr>
            <w:tcW w:w="3471" w:type="dxa"/>
          </w:tcPr>
          <w:p w:rsidR="00131C68" w:rsidRPr="009B12FF" w:rsidRDefault="00131C68" w:rsidP="00FF362A">
            <w:pPr>
              <w:jc w:val="both"/>
              <w:rPr>
                <w:rFonts w:ascii="Arial" w:hAnsi="Arial" w:cs="Arial"/>
                <w:sz w:val="22"/>
                <w:szCs w:val="22"/>
              </w:rPr>
            </w:pPr>
            <w:r w:rsidRPr="009B12FF">
              <w:rPr>
                <w:rFonts w:ascii="Arial" w:hAnsi="Arial" w:cs="Arial"/>
                <w:sz w:val="22"/>
                <w:szCs w:val="22"/>
              </w:rPr>
              <w:t>Asistencia Médica</w:t>
            </w:r>
          </w:p>
        </w:tc>
        <w:tc>
          <w:tcPr>
            <w:tcW w:w="3434" w:type="dxa"/>
          </w:tcPr>
          <w:p w:rsidR="00131C68" w:rsidRPr="009B12FF" w:rsidRDefault="00131C68" w:rsidP="00FF362A">
            <w:pPr>
              <w:jc w:val="center"/>
              <w:rPr>
                <w:rFonts w:ascii="Arial" w:hAnsi="Arial" w:cs="Arial"/>
                <w:sz w:val="22"/>
                <w:szCs w:val="22"/>
              </w:rPr>
            </w:pPr>
            <w:r w:rsidRPr="009B12FF">
              <w:rPr>
                <w:rFonts w:ascii="Arial" w:hAnsi="Arial" w:cs="Arial"/>
                <w:sz w:val="22"/>
                <w:szCs w:val="22"/>
              </w:rPr>
              <w:t>4</w:t>
            </w:r>
          </w:p>
        </w:tc>
        <w:tc>
          <w:tcPr>
            <w:tcW w:w="1958" w:type="dxa"/>
          </w:tcPr>
          <w:p w:rsidR="00131C68" w:rsidRPr="009B12FF" w:rsidRDefault="00131C68" w:rsidP="00FF362A">
            <w:pPr>
              <w:jc w:val="right"/>
              <w:rPr>
                <w:rFonts w:ascii="Arial" w:hAnsi="Arial" w:cs="Arial"/>
                <w:sz w:val="22"/>
                <w:szCs w:val="22"/>
              </w:rPr>
            </w:pPr>
            <w:r w:rsidRPr="009B12FF">
              <w:rPr>
                <w:rFonts w:ascii="Arial" w:hAnsi="Arial" w:cs="Arial"/>
                <w:sz w:val="22"/>
                <w:szCs w:val="22"/>
              </w:rPr>
              <w:t>1.275.107.000</w:t>
            </w:r>
          </w:p>
        </w:tc>
      </w:tr>
      <w:tr w:rsidR="00131C68" w:rsidRPr="009B12FF" w:rsidTr="00610B62">
        <w:tc>
          <w:tcPr>
            <w:tcW w:w="3471" w:type="dxa"/>
          </w:tcPr>
          <w:p w:rsidR="00131C68" w:rsidRPr="009B12FF" w:rsidRDefault="00131C68" w:rsidP="00FF362A">
            <w:pPr>
              <w:jc w:val="both"/>
              <w:rPr>
                <w:rFonts w:ascii="Arial" w:hAnsi="Arial" w:cs="Arial"/>
                <w:sz w:val="22"/>
                <w:szCs w:val="22"/>
              </w:rPr>
            </w:pPr>
            <w:r w:rsidRPr="009B12FF">
              <w:rPr>
                <w:rFonts w:ascii="Arial" w:hAnsi="Arial" w:cs="Arial"/>
                <w:sz w:val="22"/>
                <w:szCs w:val="22"/>
              </w:rPr>
              <w:t>Personas con Discapacidad</w:t>
            </w:r>
          </w:p>
        </w:tc>
        <w:tc>
          <w:tcPr>
            <w:tcW w:w="3434" w:type="dxa"/>
          </w:tcPr>
          <w:p w:rsidR="00131C68" w:rsidRPr="009B12FF" w:rsidRDefault="00131C68" w:rsidP="00FF362A">
            <w:pPr>
              <w:jc w:val="center"/>
              <w:rPr>
                <w:rFonts w:ascii="Arial" w:hAnsi="Arial" w:cs="Arial"/>
                <w:sz w:val="22"/>
                <w:szCs w:val="22"/>
              </w:rPr>
            </w:pPr>
            <w:r w:rsidRPr="009B12FF">
              <w:rPr>
                <w:rFonts w:ascii="Arial" w:hAnsi="Arial" w:cs="Arial"/>
                <w:sz w:val="22"/>
                <w:szCs w:val="22"/>
              </w:rPr>
              <w:t>2</w:t>
            </w:r>
          </w:p>
        </w:tc>
        <w:tc>
          <w:tcPr>
            <w:tcW w:w="1958" w:type="dxa"/>
          </w:tcPr>
          <w:p w:rsidR="00131C68" w:rsidRPr="009B12FF" w:rsidRDefault="00131C68" w:rsidP="00FF362A">
            <w:pPr>
              <w:jc w:val="right"/>
              <w:rPr>
                <w:rFonts w:ascii="Arial" w:hAnsi="Arial" w:cs="Arial"/>
                <w:sz w:val="22"/>
                <w:szCs w:val="22"/>
              </w:rPr>
            </w:pPr>
            <w:r w:rsidRPr="009B12FF">
              <w:rPr>
                <w:rFonts w:ascii="Arial" w:hAnsi="Arial" w:cs="Arial"/>
                <w:sz w:val="22"/>
                <w:szCs w:val="22"/>
              </w:rPr>
              <w:t>117.703.000</w:t>
            </w:r>
          </w:p>
        </w:tc>
      </w:tr>
      <w:tr w:rsidR="00131C68" w:rsidRPr="009B12FF" w:rsidTr="00610B62">
        <w:tc>
          <w:tcPr>
            <w:tcW w:w="3471" w:type="dxa"/>
          </w:tcPr>
          <w:p w:rsidR="00131C68" w:rsidRPr="009B12FF" w:rsidRDefault="00131C68" w:rsidP="00FF362A">
            <w:pPr>
              <w:rPr>
                <w:rFonts w:ascii="Arial" w:hAnsi="Arial" w:cs="Arial"/>
                <w:sz w:val="22"/>
                <w:szCs w:val="22"/>
              </w:rPr>
            </w:pPr>
            <w:r w:rsidRPr="009B12FF">
              <w:rPr>
                <w:rFonts w:ascii="Arial" w:hAnsi="Arial" w:cs="Arial"/>
                <w:sz w:val="22"/>
                <w:szCs w:val="22"/>
              </w:rPr>
              <w:t>Víctimas de Explotación Sexual</w:t>
            </w:r>
          </w:p>
        </w:tc>
        <w:tc>
          <w:tcPr>
            <w:tcW w:w="3434" w:type="dxa"/>
          </w:tcPr>
          <w:p w:rsidR="00131C68" w:rsidRPr="009B12FF" w:rsidRDefault="00131C68" w:rsidP="00FF362A">
            <w:pPr>
              <w:jc w:val="center"/>
              <w:rPr>
                <w:rFonts w:ascii="Arial" w:hAnsi="Arial" w:cs="Arial"/>
                <w:sz w:val="22"/>
                <w:szCs w:val="22"/>
              </w:rPr>
            </w:pPr>
            <w:r w:rsidRPr="009B12FF">
              <w:rPr>
                <w:rFonts w:ascii="Arial" w:hAnsi="Arial" w:cs="Arial"/>
                <w:sz w:val="22"/>
                <w:szCs w:val="22"/>
              </w:rPr>
              <w:t>1</w:t>
            </w:r>
          </w:p>
        </w:tc>
        <w:tc>
          <w:tcPr>
            <w:tcW w:w="1958" w:type="dxa"/>
          </w:tcPr>
          <w:p w:rsidR="00131C68" w:rsidRPr="009B12FF" w:rsidRDefault="00131C68" w:rsidP="00FF362A">
            <w:pPr>
              <w:jc w:val="right"/>
              <w:rPr>
                <w:rFonts w:ascii="Arial" w:hAnsi="Arial" w:cs="Arial"/>
                <w:sz w:val="22"/>
                <w:szCs w:val="22"/>
              </w:rPr>
            </w:pPr>
            <w:r w:rsidRPr="009B12FF">
              <w:rPr>
                <w:rFonts w:ascii="Arial" w:hAnsi="Arial" w:cs="Arial"/>
                <w:sz w:val="22"/>
                <w:szCs w:val="22"/>
              </w:rPr>
              <w:t>41.171.000</w:t>
            </w:r>
          </w:p>
        </w:tc>
      </w:tr>
      <w:tr w:rsidR="00131C68" w:rsidRPr="009B12FF" w:rsidTr="00610B62">
        <w:tc>
          <w:tcPr>
            <w:tcW w:w="3471" w:type="dxa"/>
          </w:tcPr>
          <w:p w:rsidR="00131C68" w:rsidRPr="009B12FF" w:rsidRDefault="00131C68" w:rsidP="00FF362A">
            <w:pPr>
              <w:rPr>
                <w:rFonts w:ascii="Arial" w:hAnsi="Arial" w:cs="Arial"/>
                <w:sz w:val="22"/>
                <w:szCs w:val="22"/>
              </w:rPr>
            </w:pPr>
            <w:r w:rsidRPr="009B12FF">
              <w:rPr>
                <w:rFonts w:ascii="Arial" w:hAnsi="Arial" w:cs="Arial"/>
                <w:sz w:val="22"/>
                <w:szCs w:val="22"/>
              </w:rPr>
              <w:t>Virus HIV/SIDA</w:t>
            </w:r>
          </w:p>
        </w:tc>
        <w:tc>
          <w:tcPr>
            <w:tcW w:w="3434" w:type="dxa"/>
          </w:tcPr>
          <w:p w:rsidR="00131C68" w:rsidRPr="009B12FF" w:rsidRDefault="00131C68" w:rsidP="00FF362A">
            <w:pPr>
              <w:jc w:val="center"/>
              <w:rPr>
                <w:rFonts w:ascii="Arial" w:hAnsi="Arial" w:cs="Arial"/>
                <w:sz w:val="22"/>
                <w:szCs w:val="22"/>
              </w:rPr>
            </w:pPr>
            <w:r w:rsidRPr="009B12FF">
              <w:rPr>
                <w:rFonts w:ascii="Arial" w:hAnsi="Arial" w:cs="Arial"/>
                <w:sz w:val="22"/>
                <w:szCs w:val="22"/>
              </w:rPr>
              <w:t>1</w:t>
            </w:r>
          </w:p>
        </w:tc>
        <w:tc>
          <w:tcPr>
            <w:tcW w:w="1958" w:type="dxa"/>
          </w:tcPr>
          <w:p w:rsidR="00131C68" w:rsidRPr="009B12FF" w:rsidRDefault="00131C68" w:rsidP="00FF362A">
            <w:pPr>
              <w:jc w:val="right"/>
              <w:rPr>
                <w:rFonts w:ascii="Arial" w:hAnsi="Arial" w:cs="Arial"/>
                <w:sz w:val="22"/>
                <w:szCs w:val="22"/>
              </w:rPr>
            </w:pPr>
            <w:r w:rsidRPr="009B12FF">
              <w:rPr>
                <w:rFonts w:ascii="Arial" w:hAnsi="Arial" w:cs="Arial"/>
                <w:sz w:val="22"/>
                <w:szCs w:val="22"/>
              </w:rPr>
              <w:t>38.801.000</w:t>
            </w:r>
          </w:p>
        </w:tc>
      </w:tr>
      <w:tr w:rsidR="00131C68" w:rsidRPr="009B12FF" w:rsidTr="00610B62">
        <w:tc>
          <w:tcPr>
            <w:tcW w:w="3471" w:type="dxa"/>
          </w:tcPr>
          <w:p w:rsidR="00131C68" w:rsidRPr="009B12FF" w:rsidRDefault="00131C68" w:rsidP="00FF362A">
            <w:pPr>
              <w:rPr>
                <w:rFonts w:ascii="Arial" w:hAnsi="Arial" w:cs="Arial"/>
                <w:sz w:val="22"/>
                <w:szCs w:val="22"/>
              </w:rPr>
            </w:pPr>
            <w:r w:rsidRPr="009B12FF">
              <w:rPr>
                <w:rFonts w:ascii="Arial" w:hAnsi="Arial" w:cs="Arial"/>
                <w:sz w:val="22"/>
                <w:szCs w:val="22"/>
              </w:rPr>
              <w:t>Atención del Cáncer</w:t>
            </w:r>
          </w:p>
        </w:tc>
        <w:tc>
          <w:tcPr>
            <w:tcW w:w="3434" w:type="dxa"/>
          </w:tcPr>
          <w:p w:rsidR="00131C68" w:rsidRPr="009B12FF" w:rsidRDefault="00131C68" w:rsidP="00FF362A">
            <w:pPr>
              <w:jc w:val="center"/>
              <w:rPr>
                <w:rFonts w:ascii="Arial" w:hAnsi="Arial" w:cs="Arial"/>
                <w:sz w:val="22"/>
                <w:szCs w:val="22"/>
              </w:rPr>
            </w:pPr>
            <w:r w:rsidRPr="009B12FF">
              <w:rPr>
                <w:rFonts w:ascii="Arial" w:hAnsi="Arial" w:cs="Arial"/>
                <w:sz w:val="22"/>
                <w:szCs w:val="22"/>
              </w:rPr>
              <w:t>1</w:t>
            </w:r>
          </w:p>
        </w:tc>
        <w:tc>
          <w:tcPr>
            <w:tcW w:w="1958" w:type="dxa"/>
          </w:tcPr>
          <w:p w:rsidR="00131C68" w:rsidRPr="009B12FF" w:rsidRDefault="00131C68" w:rsidP="00FF362A">
            <w:pPr>
              <w:jc w:val="right"/>
              <w:rPr>
                <w:rFonts w:ascii="Arial" w:hAnsi="Arial" w:cs="Arial"/>
                <w:sz w:val="22"/>
                <w:szCs w:val="22"/>
              </w:rPr>
            </w:pPr>
            <w:r w:rsidRPr="009B12FF">
              <w:rPr>
                <w:rFonts w:ascii="Arial" w:hAnsi="Arial" w:cs="Arial"/>
                <w:sz w:val="22"/>
                <w:szCs w:val="22"/>
              </w:rPr>
              <w:t>275.923.000</w:t>
            </w:r>
          </w:p>
        </w:tc>
      </w:tr>
      <w:tr w:rsidR="00131C68" w:rsidRPr="009B12FF" w:rsidTr="00610B62">
        <w:tc>
          <w:tcPr>
            <w:tcW w:w="3471" w:type="dxa"/>
          </w:tcPr>
          <w:p w:rsidR="00131C68" w:rsidRPr="009B12FF" w:rsidRDefault="00131C68" w:rsidP="00FF362A">
            <w:pPr>
              <w:jc w:val="center"/>
              <w:rPr>
                <w:rFonts w:ascii="Arial" w:hAnsi="Arial" w:cs="Arial"/>
                <w:b/>
                <w:sz w:val="22"/>
                <w:szCs w:val="22"/>
              </w:rPr>
            </w:pPr>
            <w:r w:rsidRPr="009B12FF">
              <w:rPr>
                <w:rFonts w:ascii="Arial" w:hAnsi="Arial" w:cs="Arial"/>
                <w:b/>
                <w:sz w:val="22"/>
                <w:szCs w:val="22"/>
              </w:rPr>
              <w:t>TOTALES</w:t>
            </w:r>
          </w:p>
        </w:tc>
        <w:tc>
          <w:tcPr>
            <w:tcW w:w="3434" w:type="dxa"/>
          </w:tcPr>
          <w:p w:rsidR="00131C68" w:rsidRPr="009B12FF" w:rsidRDefault="00131C68" w:rsidP="00FF362A">
            <w:pPr>
              <w:jc w:val="center"/>
              <w:rPr>
                <w:rFonts w:ascii="Arial" w:hAnsi="Arial" w:cs="Arial"/>
                <w:b/>
                <w:sz w:val="22"/>
                <w:szCs w:val="22"/>
              </w:rPr>
            </w:pPr>
            <w:r w:rsidRPr="009B12FF">
              <w:rPr>
                <w:rFonts w:ascii="Arial" w:hAnsi="Arial" w:cs="Arial"/>
                <w:b/>
                <w:sz w:val="22"/>
                <w:szCs w:val="22"/>
              </w:rPr>
              <w:t>34</w:t>
            </w:r>
          </w:p>
        </w:tc>
        <w:tc>
          <w:tcPr>
            <w:tcW w:w="1958" w:type="dxa"/>
          </w:tcPr>
          <w:p w:rsidR="00131C68" w:rsidRPr="009B12FF" w:rsidRDefault="00131C68" w:rsidP="00FF362A">
            <w:pPr>
              <w:jc w:val="right"/>
              <w:rPr>
                <w:rFonts w:ascii="Arial" w:hAnsi="Arial" w:cs="Arial"/>
                <w:b/>
                <w:sz w:val="22"/>
                <w:szCs w:val="22"/>
              </w:rPr>
            </w:pPr>
            <w:r w:rsidRPr="009B12FF">
              <w:rPr>
                <w:rFonts w:ascii="Arial" w:hAnsi="Arial" w:cs="Arial"/>
                <w:b/>
                <w:sz w:val="22"/>
                <w:szCs w:val="22"/>
              </w:rPr>
              <w:t>2.717.984.130</w:t>
            </w:r>
          </w:p>
        </w:tc>
      </w:tr>
    </w:tbl>
    <w:p w:rsidR="00610B62" w:rsidRPr="009B12FF" w:rsidRDefault="006265FE" w:rsidP="005F5997">
      <w:pPr>
        <w:jc w:val="both"/>
        <w:rPr>
          <w:rFonts w:ascii="Arial" w:hAnsi="Arial" w:cs="Arial"/>
          <w:b/>
          <w:sz w:val="14"/>
          <w:szCs w:val="14"/>
        </w:rPr>
      </w:pPr>
      <w:r w:rsidRPr="009B12FF">
        <w:rPr>
          <w:rFonts w:ascii="Arial" w:hAnsi="Arial" w:cs="Arial"/>
          <w:b/>
          <w:sz w:val="14"/>
          <w:szCs w:val="14"/>
        </w:rPr>
        <w:t>FI: GDS-017 del 09 de enero de 2014.</w:t>
      </w:r>
    </w:p>
    <w:p w:rsidR="006265FE" w:rsidRPr="009B12FF" w:rsidRDefault="006265FE" w:rsidP="005F5997">
      <w:pPr>
        <w:jc w:val="both"/>
        <w:rPr>
          <w:rFonts w:ascii="Arial" w:hAnsi="Arial" w:cs="Arial"/>
          <w:sz w:val="22"/>
          <w:szCs w:val="22"/>
        </w:rPr>
      </w:pPr>
    </w:p>
    <w:p w:rsidR="00BE1AB4" w:rsidRPr="009B12FF" w:rsidRDefault="00BE1AB4" w:rsidP="005F5997">
      <w:pPr>
        <w:jc w:val="both"/>
        <w:rPr>
          <w:rFonts w:ascii="Arial" w:hAnsi="Arial" w:cs="Arial"/>
          <w:sz w:val="22"/>
          <w:szCs w:val="22"/>
        </w:rPr>
      </w:pPr>
    </w:p>
    <w:p w:rsidR="00131C68" w:rsidRPr="009B12FF" w:rsidRDefault="00131C68" w:rsidP="005F5997">
      <w:pPr>
        <w:jc w:val="both"/>
        <w:rPr>
          <w:rFonts w:ascii="Arial" w:hAnsi="Arial" w:cs="Arial"/>
          <w:sz w:val="22"/>
          <w:szCs w:val="22"/>
        </w:rPr>
      </w:pPr>
      <w:r w:rsidRPr="009B12FF">
        <w:rPr>
          <w:rFonts w:ascii="Arial" w:hAnsi="Arial" w:cs="Arial"/>
          <w:sz w:val="22"/>
          <w:szCs w:val="22"/>
        </w:rPr>
        <w:t>Los anteriores 34 proyectos serán incluidos en el primer presupuesto extraordinario para el año 2014, que sumados a los ¢7.477.182.270, suman una cartera de proyectos total por un monto de ¢10.195.166.400, debidamente tramitados por el Departamento de Gestió</w:t>
      </w:r>
      <w:r w:rsidR="00610B62" w:rsidRPr="009B12FF">
        <w:rPr>
          <w:rFonts w:ascii="Arial" w:hAnsi="Arial" w:cs="Arial"/>
          <w:sz w:val="22"/>
          <w:szCs w:val="22"/>
        </w:rPr>
        <w:t xml:space="preserve">n Social y que representaría el </w:t>
      </w:r>
      <w:r w:rsidRPr="009B12FF">
        <w:rPr>
          <w:rFonts w:ascii="Arial" w:hAnsi="Arial" w:cs="Arial"/>
          <w:sz w:val="22"/>
          <w:szCs w:val="22"/>
        </w:rPr>
        <w:t>88.7%, superior al 78% esperado y con un resultado de cumplimiento del 113.72%</w:t>
      </w:r>
    </w:p>
    <w:p w:rsidR="00131C68" w:rsidRPr="009B12FF" w:rsidRDefault="00131C68" w:rsidP="005F5997">
      <w:pPr>
        <w:jc w:val="both"/>
        <w:rPr>
          <w:rFonts w:ascii="Arial" w:hAnsi="Arial" w:cs="Arial"/>
          <w:b/>
          <w:sz w:val="22"/>
          <w:szCs w:val="22"/>
        </w:rPr>
      </w:pPr>
    </w:p>
    <w:p w:rsidR="00BE1AB4" w:rsidRPr="009B12FF" w:rsidRDefault="00BE1AB4" w:rsidP="005F5997">
      <w:pPr>
        <w:jc w:val="both"/>
        <w:rPr>
          <w:rFonts w:ascii="Arial" w:hAnsi="Arial" w:cs="Arial"/>
          <w:b/>
          <w:sz w:val="22"/>
          <w:szCs w:val="22"/>
        </w:rPr>
      </w:pPr>
    </w:p>
    <w:p w:rsidR="00131C68" w:rsidRPr="009B12FF" w:rsidRDefault="00131C68" w:rsidP="005F5997">
      <w:pPr>
        <w:jc w:val="both"/>
        <w:rPr>
          <w:rFonts w:ascii="Arial" w:hAnsi="Arial" w:cs="Arial"/>
          <w:b/>
          <w:sz w:val="22"/>
          <w:szCs w:val="22"/>
        </w:rPr>
      </w:pPr>
      <w:r w:rsidRPr="009B12FF">
        <w:rPr>
          <w:rFonts w:ascii="Arial" w:hAnsi="Arial" w:cs="Arial"/>
          <w:b/>
          <w:sz w:val="22"/>
          <w:szCs w:val="22"/>
        </w:rPr>
        <w:t>Cómo incidió en l</w:t>
      </w:r>
      <w:r w:rsidR="005F5997" w:rsidRPr="009B12FF">
        <w:rPr>
          <w:rFonts w:ascii="Arial" w:hAnsi="Arial" w:cs="Arial"/>
          <w:b/>
          <w:sz w:val="22"/>
          <w:szCs w:val="22"/>
        </w:rPr>
        <w:t>a entrega de bienes y servicios.</w:t>
      </w:r>
    </w:p>
    <w:p w:rsidR="00FA2EAA" w:rsidRPr="009B12FF" w:rsidRDefault="00FA2EAA" w:rsidP="005F5997">
      <w:pPr>
        <w:jc w:val="both"/>
        <w:rPr>
          <w:rFonts w:ascii="Arial" w:hAnsi="Arial" w:cs="Arial"/>
          <w:b/>
          <w:sz w:val="22"/>
          <w:szCs w:val="22"/>
        </w:rPr>
      </w:pPr>
    </w:p>
    <w:p w:rsidR="00131C68" w:rsidRPr="009B12FF" w:rsidRDefault="00131C68" w:rsidP="005F5997">
      <w:pPr>
        <w:jc w:val="both"/>
        <w:rPr>
          <w:rFonts w:ascii="Arial" w:hAnsi="Arial" w:cs="Arial"/>
          <w:sz w:val="22"/>
          <w:szCs w:val="22"/>
        </w:rPr>
      </w:pPr>
      <w:r w:rsidRPr="009B12FF">
        <w:rPr>
          <w:rFonts w:ascii="Arial" w:hAnsi="Arial" w:cs="Arial"/>
          <w:sz w:val="22"/>
          <w:szCs w:val="22"/>
        </w:rPr>
        <w:t xml:space="preserve">La entrega de los recursos por proyectos incidió positivamente en la atención de los beneficiarios de las diferentes áreas coordinadas, con los entes rectores. </w:t>
      </w:r>
    </w:p>
    <w:p w:rsidR="00131C68" w:rsidRPr="009B12FF" w:rsidRDefault="00131C68" w:rsidP="000847DA">
      <w:pPr>
        <w:jc w:val="both"/>
        <w:rPr>
          <w:rFonts w:ascii="Arial" w:hAnsi="Arial" w:cs="Arial"/>
          <w:sz w:val="22"/>
          <w:szCs w:val="22"/>
        </w:rPr>
      </w:pPr>
      <w:r w:rsidRPr="009B12FF">
        <w:rPr>
          <w:rFonts w:ascii="Arial" w:hAnsi="Arial" w:cs="Arial"/>
          <w:sz w:val="22"/>
          <w:szCs w:val="22"/>
        </w:rPr>
        <w:t>De esta manera esta instancia prioriza la atención de los mismos, tomando en cuenta criterios tales como:</w:t>
      </w:r>
    </w:p>
    <w:p w:rsidR="00172E70" w:rsidRPr="009B12FF" w:rsidRDefault="00172E70" w:rsidP="000847DA">
      <w:pPr>
        <w:jc w:val="both"/>
        <w:rPr>
          <w:rFonts w:ascii="Arial" w:hAnsi="Arial" w:cs="Arial"/>
          <w:sz w:val="22"/>
          <w:szCs w:val="22"/>
        </w:rPr>
      </w:pPr>
    </w:p>
    <w:p w:rsidR="00131C68" w:rsidRPr="009B12FF" w:rsidRDefault="00131C68" w:rsidP="000847DA">
      <w:pPr>
        <w:pStyle w:val="Prrafodelista"/>
        <w:numPr>
          <w:ilvl w:val="0"/>
          <w:numId w:val="26"/>
        </w:numPr>
        <w:spacing w:line="240" w:lineRule="auto"/>
        <w:jc w:val="both"/>
        <w:rPr>
          <w:rFonts w:ascii="Arial" w:hAnsi="Arial" w:cs="Arial"/>
        </w:rPr>
      </w:pPr>
      <w:r w:rsidRPr="009B12FF">
        <w:rPr>
          <w:rFonts w:ascii="Arial" w:hAnsi="Arial" w:cs="Arial"/>
        </w:rPr>
        <w:t xml:space="preserve">Mejoramiento en las condiciones de vida de la población meta. </w:t>
      </w:r>
    </w:p>
    <w:p w:rsidR="00131C68" w:rsidRPr="009B12FF" w:rsidRDefault="00131C68" w:rsidP="000847DA">
      <w:pPr>
        <w:pStyle w:val="Prrafodelista"/>
        <w:numPr>
          <w:ilvl w:val="0"/>
          <w:numId w:val="26"/>
        </w:numPr>
        <w:spacing w:line="240" w:lineRule="auto"/>
        <w:jc w:val="both"/>
        <w:rPr>
          <w:rFonts w:ascii="Arial" w:hAnsi="Arial" w:cs="Arial"/>
        </w:rPr>
      </w:pPr>
      <w:r w:rsidRPr="009B12FF">
        <w:rPr>
          <w:rFonts w:ascii="Arial" w:hAnsi="Arial" w:cs="Arial"/>
        </w:rPr>
        <w:t>Vinculación del proyecto con  la problemática de atención.</w:t>
      </w:r>
    </w:p>
    <w:p w:rsidR="00131C68" w:rsidRPr="009B12FF" w:rsidRDefault="00131C68" w:rsidP="000847DA">
      <w:pPr>
        <w:pStyle w:val="Prrafodelista"/>
        <w:numPr>
          <w:ilvl w:val="0"/>
          <w:numId w:val="26"/>
        </w:numPr>
        <w:spacing w:line="240" w:lineRule="auto"/>
        <w:jc w:val="both"/>
        <w:rPr>
          <w:rFonts w:ascii="Arial" w:hAnsi="Arial" w:cs="Arial"/>
        </w:rPr>
      </w:pPr>
      <w:r w:rsidRPr="009B12FF">
        <w:rPr>
          <w:rFonts w:ascii="Arial" w:hAnsi="Arial" w:cs="Arial"/>
        </w:rPr>
        <w:t>Priorización de la  necesidad planteada por la entidad.</w:t>
      </w:r>
    </w:p>
    <w:p w:rsidR="00131C68" w:rsidRPr="009B12FF" w:rsidRDefault="00131C68" w:rsidP="000847DA">
      <w:pPr>
        <w:pStyle w:val="Prrafodelista"/>
        <w:numPr>
          <w:ilvl w:val="0"/>
          <w:numId w:val="26"/>
        </w:numPr>
        <w:spacing w:line="240" w:lineRule="auto"/>
        <w:jc w:val="both"/>
        <w:rPr>
          <w:rFonts w:ascii="Arial" w:hAnsi="Arial" w:cs="Arial"/>
        </w:rPr>
      </w:pPr>
      <w:r w:rsidRPr="009B12FF">
        <w:rPr>
          <w:rFonts w:ascii="Arial" w:hAnsi="Arial" w:cs="Arial"/>
        </w:rPr>
        <w:t>Posibilidad de otras fuentes de recursos</w:t>
      </w:r>
    </w:p>
    <w:p w:rsidR="00131C68" w:rsidRPr="009B12FF" w:rsidRDefault="00131C68" w:rsidP="000847DA">
      <w:pPr>
        <w:pStyle w:val="Prrafodelista"/>
        <w:numPr>
          <w:ilvl w:val="0"/>
          <w:numId w:val="26"/>
        </w:numPr>
        <w:spacing w:line="240" w:lineRule="auto"/>
        <w:jc w:val="both"/>
        <w:rPr>
          <w:rFonts w:ascii="Arial" w:hAnsi="Arial" w:cs="Arial"/>
        </w:rPr>
      </w:pPr>
      <w:r w:rsidRPr="009B12FF">
        <w:rPr>
          <w:rFonts w:ascii="Arial" w:hAnsi="Arial" w:cs="Arial"/>
        </w:rPr>
        <w:t>Fecha de recepción de la solicitud</w:t>
      </w:r>
    </w:p>
    <w:p w:rsidR="00E33E79" w:rsidRPr="009B12FF" w:rsidRDefault="00E33E79" w:rsidP="000847DA">
      <w:pPr>
        <w:pStyle w:val="Prrafodelista"/>
        <w:spacing w:line="240" w:lineRule="auto"/>
        <w:jc w:val="both"/>
        <w:rPr>
          <w:rFonts w:ascii="Arial" w:hAnsi="Arial" w:cs="Arial"/>
        </w:rPr>
      </w:pPr>
    </w:p>
    <w:p w:rsidR="00BE1AB4" w:rsidRPr="00F347BE" w:rsidRDefault="00F347BE" w:rsidP="00F347BE">
      <w:pPr>
        <w:pStyle w:val="Prrafodelista"/>
        <w:spacing w:line="240" w:lineRule="auto"/>
        <w:ind w:left="0"/>
        <w:rPr>
          <w:rFonts w:ascii="Arial" w:hAnsi="Arial" w:cs="Arial"/>
          <w:b/>
        </w:rPr>
      </w:pPr>
      <w:r w:rsidRPr="002D1E37">
        <w:rPr>
          <w:rFonts w:ascii="Arial" w:hAnsi="Arial" w:cs="Arial"/>
          <w:b/>
        </w:rPr>
        <w:t>Meta insuficiente.</w:t>
      </w:r>
    </w:p>
    <w:p w:rsidR="00F347BE" w:rsidRPr="009B12FF" w:rsidRDefault="00F347BE" w:rsidP="00F347BE">
      <w:pPr>
        <w:pStyle w:val="Prrafodelista"/>
        <w:spacing w:line="240" w:lineRule="auto"/>
        <w:ind w:left="0"/>
        <w:rPr>
          <w:rFonts w:ascii="Arial" w:hAnsi="Arial" w:cs="Arial"/>
        </w:rPr>
      </w:pPr>
    </w:p>
    <w:p w:rsidR="00E33E79" w:rsidRPr="009B12FF" w:rsidRDefault="00E33E79" w:rsidP="000847DA">
      <w:pPr>
        <w:pStyle w:val="Prrafodelista"/>
        <w:spacing w:line="240" w:lineRule="auto"/>
        <w:ind w:left="0"/>
        <w:jc w:val="both"/>
        <w:rPr>
          <w:rFonts w:ascii="Arial" w:hAnsi="Arial" w:cs="Arial"/>
          <w:b/>
        </w:rPr>
      </w:pPr>
      <w:r w:rsidRPr="009B12FF">
        <w:rPr>
          <w:rFonts w:ascii="Arial" w:hAnsi="Arial" w:cs="Arial"/>
          <w:b/>
        </w:rPr>
        <w:t>Indicador 7</w:t>
      </w:r>
    </w:p>
    <w:p w:rsidR="005A2625" w:rsidRPr="009B12FF" w:rsidRDefault="005A2625" w:rsidP="000847DA">
      <w:pPr>
        <w:pStyle w:val="Prrafodelista"/>
        <w:spacing w:line="240" w:lineRule="auto"/>
        <w:ind w:left="0"/>
        <w:jc w:val="both"/>
        <w:rPr>
          <w:rFonts w:ascii="Arial" w:hAnsi="Arial" w:cs="Arial"/>
          <w:b/>
        </w:rPr>
      </w:pPr>
    </w:p>
    <w:p w:rsidR="00E33E79" w:rsidRPr="009B12FF" w:rsidRDefault="00E33E79" w:rsidP="000847DA">
      <w:pPr>
        <w:pStyle w:val="Prrafodelista"/>
        <w:spacing w:line="240" w:lineRule="auto"/>
        <w:ind w:left="284"/>
        <w:jc w:val="both"/>
        <w:rPr>
          <w:rFonts w:ascii="Arial" w:hAnsi="Arial" w:cs="Arial"/>
          <w:b/>
        </w:rPr>
      </w:pPr>
      <w:r w:rsidRPr="009B12FF">
        <w:rPr>
          <w:rFonts w:ascii="Arial" w:hAnsi="Arial" w:cs="Arial"/>
          <w:b/>
        </w:rPr>
        <w:t>Porcentaje de ayudas técnicas entregadas respecto del total de a</w:t>
      </w:r>
      <w:r w:rsidR="004C2E94" w:rsidRPr="009B12FF">
        <w:rPr>
          <w:rFonts w:ascii="Arial" w:hAnsi="Arial" w:cs="Arial"/>
          <w:b/>
        </w:rPr>
        <w:t>yudas técnicas aprobadas en 2013</w:t>
      </w:r>
      <w:r w:rsidRPr="009B12FF">
        <w:rPr>
          <w:rFonts w:ascii="Arial" w:hAnsi="Arial" w:cs="Arial"/>
          <w:b/>
        </w:rPr>
        <w:t xml:space="preserve"> (producto – eficacia).</w:t>
      </w:r>
    </w:p>
    <w:tbl>
      <w:tblPr>
        <w:tblStyle w:val="Tablaconcuadrcula"/>
        <w:tblW w:w="8613" w:type="dxa"/>
        <w:tblLayout w:type="fixed"/>
        <w:tblLook w:val="04A0" w:firstRow="1" w:lastRow="0" w:firstColumn="1" w:lastColumn="0" w:noHBand="0" w:noVBand="1"/>
      </w:tblPr>
      <w:tblGrid>
        <w:gridCol w:w="3652"/>
        <w:gridCol w:w="992"/>
        <w:gridCol w:w="1985"/>
        <w:gridCol w:w="1984"/>
      </w:tblGrid>
      <w:tr w:rsidR="00E33E79" w:rsidRPr="009B12FF" w:rsidTr="005E7634">
        <w:tc>
          <w:tcPr>
            <w:tcW w:w="3652" w:type="dxa"/>
            <w:vAlign w:val="center"/>
          </w:tcPr>
          <w:p w:rsidR="00E33E79" w:rsidRPr="009B12FF" w:rsidRDefault="00E33E79" w:rsidP="000847DA">
            <w:pPr>
              <w:jc w:val="center"/>
              <w:rPr>
                <w:rFonts w:ascii="Arial" w:hAnsi="Arial" w:cs="Arial"/>
                <w:b/>
                <w:sz w:val="22"/>
                <w:szCs w:val="22"/>
              </w:rPr>
            </w:pPr>
            <w:r w:rsidRPr="009B12FF">
              <w:rPr>
                <w:rFonts w:ascii="Arial" w:hAnsi="Arial" w:cs="Arial"/>
                <w:b/>
                <w:sz w:val="22"/>
                <w:szCs w:val="22"/>
              </w:rPr>
              <w:t>Fórmula del Indicador</w:t>
            </w:r>
          </w:p>
        </w:tc>
        <w:tc>
          <w:tcPr>
            <w:tcW w:w="992" w:type="dxa"/>
            <w:vAlign w:val="center"/>
          </w:tcPr>
          <w:p w:rsidR="00E33E79" w:rsidRPr="009B12FF" w:rsidRDefault="00E33E79" w:rsidP="000847DA">
            <w:pPr>
              <w:jc w:val="center"/>
              <w:rPr>
                <w:rFonts w:ascii="Arial" w:hAnsi="Arial" w:cs="Arial"/>
                <w:b/>
                <w:sz w:val="22"/>
                <w:szCs w:val="22"/>
              </w:rPr>
            </w:pPr>
            <w:r w:rsidRPr="009B12FF">
              <w:rPr>
                <w:rFonts w:ascii="Arial" w:hAnsi="Arial" w:cs="Arial"/>
                <w:b/>
                <w:sz w:val="22"/>
                <w:szCs w:val="22"/>
              </w:rPr>
              <w:t>Meta</w:t>
            </w:r>
          </w:p>
        </w:tc>
        <w:tc>
          <w:tcPr>
            <w:tcW w:w="1985" w:type="dxa"/>
            <w:vAlign w:val="center"/>
          </w:tcPr>
          <w:p w:rsidR="00E33E79" w:rsidRPr="009B12FF" w:rsidRDefault="00E33E79" w:rsidP="000847DA">
            <w:pPr>
              <w:jc w:val="center"/>
              <w:rPr>
                <w:rFonts w:ascii="Arial" w:hAnsi="Arial" w:cs="Arial"/>
                <w:b/>
                <w:sz w:val="22"/>
                <w:szCs w:val="22"/>
              </w:rPr>
            </w:pPr>
            <w:r w:rsidRPr="009B12FF">
              <w:rPr>
                <w:rFonts w:ascii="Arial" w:hAnsi="Arial" w:cs="Arial"/>
                <w:b/>
                <w:sz w:val="22"/>
                <w:szCs w:val="22"/>
              </w:rPr>
              <w:t>Real alcanzado</w:t>
            </w:r>
          </w:p>
        </w:tc>
        <w:tc>
          <w:tcPr>
            <w:tcW w:w="1984" w:type="dxa"/>
          </w:tcPr>
          <w:p w:rsidR="00E33E79" w:rsidRPr="009B12FF" w:rsidRDefault="00E33E79" w:rsidP="000847DA">
            <w:pPr>
              <w:jc w:val="center"/>
              <w:rPr>
                <w:rFonts w:ascii="Arial" w:hAnsi="Arial" w:cs="Arial"/>
                <w:b/>
                <w:sz w:val="22"/>
                <w:szCs w:val="22"/>
              </w:rPr>
            </w:pPr>
            <w:r w:rsidRPr="009B12FF">
              <w:rPr>
                <w:rFonts w:ascii="Arial" w:hAnsi="Arial" w:cs="Arial"/>
                <w:b/>
                <w:sz w:val="22"/>
                <w:szCs w:val="22"/>
              </w:rPr>
              <w:t>% Cumplimiento</w:t>
            </w:r>
          </w:p>
        </w:tc>
      </w:tr>
      <w:tr w:rsidR="00E33E79" w:rsidRPr="009B12FF" w:rsidTr="005E7634">
        <w:tc>
          <w:tcPr>
            <w:tcW w:w="3652" w:type="dxa"/>
            <w:vAlign w:val="center"/>
          </w:tcPr>
          <w:p w:rsidR="00E33E79" w:rsidRPr="009B12FF" w:rsidRDefault="00E33E79" w:rsidP="000847DA">
            <w:pPr>
              <w:rPr>
                <w:rFonts w:ascii="Arial" w:hAnsi="Arial" w:cs="Arial"/>
                <w:sz w:val="22"/>
                <w:szCs w:val="22"/>
                <w:lang w:val="es-ES"/>
              </w:rPr>
            </w:pPr>
            <w:r w:rsidRPr="009B12FF">
              <w:rPr>
                <w:rFonts w:ascii="Arial" w:hAnsi="Arial" w:cs="Arial"/>
                <w:sz w:val="22"/>
                <w:szCs w:val="22"/>
                <w:lang w:val="es-ES"/>
              </w:rPr>
              <w:t>(Ayudas Técnicas entregadas/ Total de Ayudas Técnicas aprobadas) 100</w:t>
            </w:r>
          </w:p>
        </w:tc>
        <w:tc>
          <w:tcPr>
            <w:tcW w:w="992" w:type="dxa"/>
            <w:vAlign w:val="center"/>
          </w:tcPr>
          <w:p w:rsidR="00E33E79" w:rsidRPr="009B12FF" w:rsidRDefault="00E33E79" w:rsidP="000847DA">
            <w:pPr>
              <w:jc w:val="center"/>
              <w:rPr>
                <w:rFonts w:ascii="Arial" w:hAnsi="Arial" w:cs="Arial"/>
                <w:sz w:val="22"/>
                <w:szCs w:val="22"/>
              </w:rPr>
            </w:pPr>
            <w:r w:rsidRPr="009B12FF">
              <w:rPr>
                <w:rFonts w:ascii="Arial" w:hAnsi="Arial" w:cs="Arial"/>
                <w:sz w:val="22"/>
                <w:szCs w:val="22"/>
              </w:rPr>
              <w:t>80%</w:t>
            </w:r>
          </w:p>
        </w:tc>
        <w:tc>
          <w:tcPr>
            <w:tcW w:w="1985" w:type="dxa"/>
            <w:vAlign w:val="center"/>
          </w:tcPr>
          <w:p w:rsidR="00E33E79" w:rsidRPr="009B12FF" w:rsidRDefault="00883EE0" w:rsidP="000847DA">
            <w:pPr>
              <w:jc w:val="center"/>
              <w:rPr>
                <w:rFonts w:ascii="Arial" w:hAnsi="Arial" w:cs="Arial"/>
                <w:sz w:val="22"/>
                <w:szCs w:val="22"/>
              </w:rPr>
            </w:pPr>
            <w:r w:rsidRPr="009B12FF">
              <w:rPr>
                <w:rFonts w:ascii="Arial" w:hAnsi="Arial" w:cs="Arial"/>
                <w:sz w:val="22"/>
                <w:szCs w:val="22"/>
              </w:rPr>
              <w:t>52.7</w:t>
            </w:r>
            <w:r w:rsidR="00050F9A" w:rsidRPr="009B12FF">
              <w:rPr>
                <w:rFonts w:ascii="Arial" w:hAnsi="Arial" w:cs="Arial"/>
                <w:sz w:val="22"/>
                <w:szCs w:val="22"/>
              </w:rPr>
              <w:t>%</w:t>
            </w:r>
          </w:p>
        </w:tc>
        <w:tc>
          <w:tcPr>
            <w:tcW w:w="1984" w:type="dxa"/>
            <w:vAlign w:val="center"/>
          </w:tcPr>
          <w:p w:rsidR="00E33E79" w:rsidRPr="009B12FF" w:rsidRDefault="0007186D" w:rsidP="000847DA">
            <w:pPr>
              <w:jc w:val="center"/>
              <w:rPr>
                <w:rFonts w:ascii="Arial" w:hAnsi="Arial" w:cs="Arial"/>
                <w:sz w:val="22"/>
                <w:szCs w:val="22"/>
              </w:rPr>
            </w:pPr>
            <w:r w:rsidRPr="009B12FF">
              <w:rPr>
                <w:rFonts w:ascii="Arial" w:hAnsi="Arial" w:cs="Arial"/>
                <w:sz w:val="22"/>
                <w:szCs w:val="22"/>
              </w:rPr>
              <w:t>65.88%</w:t>
            </w:r>
          </w:p>
        </w:tc>
      </w:tr>
    </w:tbl>
    <w:p w:rsidR="00290418" w:rsidRPr="009B12FF" w:rsidRDefault="00290418" w:rsidP="000847DA">
      <w:pPr>
        <w:jc w:val="both"/>
        <w:rPr>
          <w:rFonts w:ascii="Arial" w:hAnsi="Arial" w:cs="Arial"/>
          <w:sz w:val="22"/>
          <w:szCs w:val="22"/>
        </w:rPr>
      </w:pPr>
    </w:p>
    <w:p w:rsidR="00E33E79" w:rsidRPr="009B12FF" w:rsidRDefault="00E33E79" w:rsidP="000847DA">
      <w:pPr>
        <w:jc w:val="both"/>
        <w:rPr>
          <w:rFonts w:ascii="Arial" w:hAnsi="Arial" w:cs="Arial"/>
          <w:sz w:val="22"/>
          <w:szCs w:val="22"/>
        </w:rPr>
      </w:pPr>
      <w:r w:rsidRPr="009B12FF">
        <w:rPr>
          <w:rFonts w:ascii="Arial" w:hAnsi="Arial" w:cs="Arial"/>
          <w:sz w:val="22"/>
          <w:szCs w:val="22"/>
        </w:rPr>
        <w:t>Para este indicador se</w:t>
      </w:r>
      <w:r w:rsidR="00263ECE" w:rsidRPr="009B12FF">
        <w:rPr>
          <w:rFonts w:ascii="Arial" w:hAnsi="Arial" w:cs="Arial"/>
          <w:sz w:val="22"/>
          <w:szCs w:val="22"/>
        </w:rPr>
        <w:t xml:space="preserve"> proyecta un cumplimiento del 80</w:t>
      </w:r>
      <w:r w:rsidRPr="009B12FF">
        <w:rPr>
          <w:rFonts w:ascii="Arial" w:hAnsi="Arial" w:cs="Arial"/>
          <w:sz w:val="22"/>
          <w:szCs w:val="22"/>
        </w:rPr>
        <w:t xml:space="preserve">% de las ayudas técnicas disponibles para entregar, tomando en consideración las utilidades proyectadas de </w:t>
      </w:r>
      <w:r w:rsidR="00263ECE" w:rsidRPr="009B12FF">
        <w:rPr>
          <w:rFonts w:ascii="Arial" w:hAnsi="Arial" w:cs="Arial"/>
          <w:sz w:val="22"/>
          <w:szCs w:val="22"/>
        </w:rPr>
        <w:t>¢443.304.392.</w:t>
      </w:r>
    </w:p>
    <w:p w:rsidR="00290418" w:rsidRPr="009B12FF" w:rsidRDefault="00290418" w:rsidP="000847DA">
      <w:pPr>
        <w:jc w:val="both"/>
        <w:rPr>
          <w:rFonts w:ascii="Arial" w:hAnsi="Arial" w:cs="Arial"/>
          <w:sz w:val="22"/>
          <w:szCs w:val="22"/>
        </w:rPr>
      </w:pPr>
    </w:p>
    <w:p w:rsidR="00E33E79" w:rsidRPr="009B12FF" w:rsidRDefault="00E33E79" w:rsidP="000847DA">
      <w:pPr>
        <w:jc w:val="both"/>
        <w:rPr>
          <w:rFonts w:ascii="Arial" w:hAnsi="Arial" w:cs="Arial"/>
          <w:sz w:val="22"/>
          <w:szCs w:val="22"/>
        </w:rPr>
      </w:pPr>
      <w:r w:rsidRPr="009B12FF">
        <w:rPr>
          <w:rFonts w:ascii="Arial" w:hAnsi="Arial" w:cs="Arial"/>
          <w:sz w:val="22"/>
          <w:szCs w:val="22"/>
        </w:rPr>
        <w:t>El porcentaje de cumpl</w:t>
      </w:r>
      <w:r w:rsidR="00172E70" w:rsidRPr="009B12FF">
        <w:rPr>
          <w:rFonts w:ascii="Arial" w:hAnsi="Arial" w:cs="Arial"/>
          <w:sz w:val="22"/>
          <w:szCs w:val="22"/>
        </w:rPr>
        <w:t>imiento de la meta anual alcanzó</w:t>
      </w:r>
      <w:r w:rsidRPr="009B12FF">
        <w:rPr>
          <w:rFonts w:ascii="Arial" w:hAnsi="Arial" w:cs="Arial"/>
          <w:sz w:val="22"/>
          <w:szCs w:val="22"/>
        </w:rPr>
        <w:t xml:space="preserve"> </w:t>
      </w:r>
      <w:r w:rsidR="00172E70" w:rsidRPr="009B12FF">
        <w:rPr>
          <w:rFonts w:ascii="Arial" w:hAnsi="Arial" w:cs="Arial"/>
          <w:sz w:val="22"/>
          <w:szCs w:val="22"/>
        </w:rPr>
        <w:t xml:space="preserve">el </w:t>
      </w:r>
      <w:r w:rsidR="0020181E" w:rsidRPr="009B12FF">
        <w:rPr>
          <w:rFonts w:ascii="Arial" w:hAnsi="Arial" w:cs="Arial"/>
          <w:sz w:val="22"/>
          <w:szCs w:val="22"/>
        </w:rPr>
        <w:t xml:space="preserve">65.88%, </w:t>
      </w:r>
      <w:r w:rsidRPr="009B12FF">
        <w:rPr>
          <w:rFonts w:ascii="Arial" w:hAnsi="Arial" w:cs="Arial"/>
          <w:sz w:val="22"/>
          <w:szCs w:val="22"/>
        </w:rPr>
        <w:t xml:space="preserve">como </w:t>
      </w:r>
      <w:r w:rsidR="002D1E37">
        <w:rPr>
          <w:rFonts w:ascii="Arial" w:hAnsi="Arial" w:cs="Arial"/>
          <w:sz w:val="22"/>
          <w:szCs w:val="22"/>
        </w:rPr>
        <w:t xml:space="preserve">meta </w:t>
      </w:r>
      <w:r w:rsidR="00EB2EAD">
        <w:rPr>
          <w:rFonts w:ascii="Arial" w:hAnsi="Arial" w:cs="Arial"/>
          <w:sz w:val="22"/>
          <w:szCs w:val="22"/>
        </w:rPr>
        <w:t>insuficiente</w:t>
      </w:r>
      <w:r w:rsidRPr="009B12FF">
        <w:rPr>
          <w:rFonts w:ascii="Arial" w:hAnsi="Arial" w:cs="Arial"/>
          <w:sz w:val="22"/>
          <w:szCs w:val="22"/>
        </w:rPr>
        <w:t>, al finalizar el año se han entregado 109 ayudas técnicas de las 179 debidamente aprobadas.</w:t>
      </w:r>
    </w:p>
    <w:p w:rsidR="00290418" w:rsidRPr="009B12FF" w:rsidRDefault="00290418" w:rsidP="000847DA">
      <w:pPr>
        <w:jc w:val="both"/>
        <w:rPr>
          <w:rFonts w:ascii="Arial" w:hAnsi="Arial" w:cs="Arial"/>
          <w:sz w:val="22"/>
          <w:szCs w:val="22"/>
        </w:rPr>
      </w:pPr>
    </w:p>
    <w:p w:rsidR="00E33E79" w:rsidRPr="009B12FF" w:rsidRDefault="00E33E79" w:rsidP="000847DA">
      <w:pPr>
        <w:jc w:val="both"/>
        <w:rPr>
          <w:rFonts w:ascii="Arial" w:hAnsi="Arial" w:cs="Arial"/>
          <w:sz w:val="22"/>
          <w:szCs w:val="22"/>
        </w:rPr>
      </w:pPr>
      <w:r w:rsidRPr="009B12FF">
        <w:rPr>
          <w:rFonts w:ascii="Arial" w:hAnsi="Arial" w:cs="Arial"/>
          <w:sz w:val="22"/>
          <w:szCs w:val="22"/>
        </w:rPr>
        <w:t>El cumplimiento de este indicador depende de que las personas beneficiarias cumplan con los requisitos establecidos. Situaciones que en el caso de darse quedan debidamente documentadas.</w:t>
      </w:r>
    </w:p>
    <w:p w:rsidR="00E33E79" w:rsidRPr="009B12FF" w:rsidRDefault="00E33E79" w:rsidP="000847DA">
      <w:pPr>
        <w:jc w:val="both"/>
        <w:rPr>
          <w:rFonts w:ascii="Arial" w:hAnsi="Arial" w:cs="Arial"/>
          <w:sz w:val="22"/>
          <w:szCs w:val="22"/>
        </w:rPr>
      </w:pPr>
    </w:p>
    <w:p w:rsidR="00E33E79" w:rsidRPr="009B12FF" w:rsidRDefault="00E33E79" w:rsidP="000847DA">
      <w:pPr>
        <w:jc w:val="both"/>
        <w:rPr>
          <w:rFonts w:ascii="Arial" w:hAnsi="Arial" w:cs="Arial"/>
          <w:sz w:val="22"/>
          <w:szCs w:val="22"/>
        </w:rPr>
      </w:pPr>
      <w:r w:rsidRPr="009B12FF">
        <w:rPr>
          <w:rFonts w:ascii="Arial" w:hAnsi="Arial" w:cs="Arial"/>
          <w:sz w:val="22"/>
          <w:szCs w:val="22"/>
        </w:rPr>
        <w:t>Se considera la ubicación de este indicador en la categoría de meta</w:t>
      </w:r>
      <w:r w:rsidR="002D1E37">
        <w:rPr>
          <w:rFonts w:ascii="Arial" w:hAnsi="Arial" w:cs="Arial"/>
          <w:sz w:val="22"/>
          <w:szCs w:val="22"/>
        </w:rPr>
        <w:t xml:space="preserve"> insuficiente</w:t>
      </w:r>
      <w:r w:rsidRPr="009B12FF">
        <w:rPr>
          <w:rFonts w:ascii="Arial" w:hAnsi="Arial" w:cs="Arial"/>
          <w:sz w:val="22"/>
          <w:szCs w:val="22"/>
        </w:rPr>
        <w:t>, lo anterior por cuanto el trámite interno para el estudio, análisis, aprobación y sobre todo la adjudicación licitatoria de las ayudas técnicas sobrepasa el período en estudio, proceso que contempla desde la solicitud inicial, así como las aprobaciones internas por parte de la Gerencia General, Junta Directiva y las respectivas modificaciones presupuestarias, así como el contenido presupuestario suficiente para cubrir con las solicitudes presentadas, entre otros, por lo que los giros efectivos se realizarán durante la gestió</w:t>
      </w:r>
      <w:r w:rsidR="00853B04" w:rsidRPr="009B12FF">
        <w:rPr>
          <w:rFonts w:ascii="Arial" w:hAnsi="Arial" w:cs="Arial"/>
          <w:sz w:val="22"/>
          <w:szCs w:val="22"/>
        </w:rPr>
        <w:t>n 2014</w:t>
      </w:r>
      <w:r w:rsidRPr="009B12FF">
        <w:rPr>
          <w:rFonts w:ascii="Arial" w:hAnsi="Arial" w:cs="Arial"/>
          <w:sz w:val="22"/>
          <w:szCs w:val="22"/>
        </w:rPr>
        <w:t>.</w:t>
      </w:r>
    </w:p>
    <w:p w:rsidR="00E33E79" w:rsidRPr="009B12FF" w:rsidRDefault="00E33E79" w:rsidP="000847DA">
      <w:pPr>
        <w:jc w:val="both"/>
        <w:rPr>
          <w:rFonts w:ascii="Arial" w:hAnsi="Arial" w:cs="Arial"/>
          <w:sz w:val="22"/>
          <w:szCs w:val="22"/>
        </w:rPr>
      </w:pPr>
    </w:p>
    <w:p w:rsidR="00BE1AB4" w:rsidRPr="009B12FF" w:rsidRDefault="00BE1AB4" w:rsidP="000847DA">
      <w:pPr>
        <w:jc w:val="both"/>
        <w:rPr>
          <w:rFonts w:ascii="Arial" w:hAnsi="Arial" w:cs="Arial"/>
          <w:sz w:val="22"/>
          <w:szCs w:val="22"/>
        </w:rPr>
      </w:pPr>
    </w:p>
    <w:p w:rsidR="00E33E79" w:rsidRPr="009B12FF" w:rsidRDefault="00E33E79" w:rsidP="000847DA">
      <w:pPr>
        <w:jc w:val="both"/>
        <w:rPr>
          <w:rFonts w:ascii="Arial" w:hAnsi="Arial" w:cs="Arial"/>
          <w:b/>
          <w:sz w:val="22"/>
          <w:szCs w:val="22"/>
        </w:rPr>
      </w:pPr>
      <w:r w:rsidRPr="009B12FF">
        <w:rPr>
          <w:rFonts w:ascii="Arial" w:hAnsi="Arial" w:cs="Arial"/>
          <w:b/>
          <w:sz w:val="22"/>
          <w:szCs w:val="22"/>
        </w:rPr>
        <w:t>Aspectos positivos internos</w:t>
      </w:r>
    </w:p>
    <w:p w:rsidR="001B22D0" w:rsidRPr="009B12FF" w:rsidRDefault="001B22D0" w:rsidP="000847DA">
      <w:pPr>
        <w:jc w:val="both"/>
        <w:rPr>
          <w:rFonts w:ascii="Arial" w:hAnsi="Arial" w:cs="Arial"/>
          <w:b/>
          <w:sz w:val="22"/>
          <w:szCs w:val="22"/>
        </w:rPr>
      </w:pPr>
    </w:p>
    <w:p w:rsidR="00E33E79" w:rsidRPr="009B12FF" w:rsidRDefault="00677BA2" w:rsidP="000847DA">
      <w:pPr>
        <w:jc w:val="both"/>
        <w:rPr>
          <w:rFonts w:ascii="Arial" w:hAnsi="Arial" w:cs="Arial"/>
          <w:sz w:val="22"/>
          <w:szCs w:val="22"/>
        </w:rPr>
      </w:pPr>
      <w:r>
        <w:rPr>
          <w:rFonts w:ascii="Arial" w:hAnsi="Arial" w:cs="Arial"/>
          <w:sz w:val="22"/>
          <w:szCs w:val="22"/>
        </w:rPr>
        <w:t>El Departamento de Gestión</w:t>
      </w:r>
      <w:r w:rsidR="00496D6F">
        <w:rPr>
          <w:rFonts w:ascii="Arial" w:hAnsi="Arial" w:cs="Arial"/>
          <w:sz w:val="22"/>
          <w:szCs w:val="22"/>
        </w:rPr>
        <w:t xml:space="preserve"> Social, logró</w:t>
      </w:r>
      <w:r w:rsidR="00E33E79" w:rsidRPr="009B12FF">
        <w:rPr>
          <w:rFonts w:ascii="Arial" w:hAnsi="Arial" w:cs="Arial"/>
          <w:sz w:val="22"/>
          <w:szCs w:val="22"/>
        </w:rPr>
        <w:t xml:space="preserve"> tramitar el 100% de las solicitudes de ayudas técnicas recibidas durante el año, misma que continuarán con el proceso requerido para concretar la compra y entrega de los artículos. </w:t>
      </w:r>
    </w:p>
    <w:p w:rsidR="001B22D0" w:rsidRPr="009B12FF" w:rsidRDefault="001B22D0" w:rsidP="000847DA">
      <w:pPr>
        <w:jc w:val="both"/>
        <w:rPr>
          <w:rFonts w:ascii="Arial" w:hAnsi="Arial" w:cs="Arial"/>
          <w:sz w:val="22"/>
          <w:szCs w:val="22"/>
        </w:rPr>
      </w:pPr>
    </w:p>
    <w:p w:rsidR="00E33E79" w:rsidRPr="009B12FF" w:rsidRDefault="00E33E79" w:rsidP="000847DA">
      <w:pPr>
        <w:jc w:val="both"/>
        <w:rPr>
          <w:rFonts w:ascii="Arial" w:hAnsi="Arial" w:cs="Arial"/>
          <w:sz w:val="22"/>
          <w:szCs w:val="22"/>
        </w:rPr>
      </w:pPr>
      <w:r w:rsidRPr="009B12FF">
        <w:rPr>
          <w:rFonts w:ascii="Arial" w:hAnsi="Arial" w:cs="Arial"/>
          <w:sz w:val="22"/>
          <w:szCs w:val="22"/>
        </w:rPr>
        <w:t>Los artículos que se están adquiriendo son de excelente calidad y el soporte técnico que brindan las empresas proveedoras, las cuales han venido mejorando sustancialmente, iniciaron su entrega</w:t>
      </w:r>
      <w:r w:rsidR="002D61AD" w:rsidRPr="009B12FF">
        <w:rPr>
          <w:rFonts w:ascii="Arial" w:hAnsi="Arial" w:cs="Arial"/>
          <w:sz w:val="22"/>
          <w:szCs w:val="22"/>
        </w:rPr>
        <w:t xml:space="preserve"> en el segundo semestre del 2013</w:t>
      </w:r>
      <w:r w:rsidRPr="009B12FF">
        <w:rPr>
          <w:rFonts w:ascii="Arial" w:hAnsi="Arial" w:cs="Arial"/>
          <w:sz w:val="22"/>
          <w:szCs w:val="22"/>
        </w:rPr>
        <w:t>.</w:t>
      </w:r>
    </w:p>
    <w:p w:rsidR="00CC2267" w:rsidRPr="009B12FF" w:rsidRDefault="00CC2267" w:rsidP="000847DA">
      <w:pPr>
        <w:jc w:val="both"/>
        <w:rPr>
          <w:rFonts w:ascii="Arial" w:hAnsi="Arial" w:cs="Arial"/>
          <w:b/>
          <w:sz w:val="22"/>
          <w:szCs w:val="22"/>
        </w:rPr>
      </w:pPr>
    </w:p>
    <w:p w:rsidR="00BE1AB4" w:rsidRPr="009B12FF" w:rsidRDefault="00BE1AB4" w:rsidP="000847DA">
      <w:pPr>
        <w:jc w:val="both"/>
        <w:rPr>
          <w:rFonts w:ascii="Arial" w:hAnsi="Arial" w:cs="Arial"/>
          <w:b/>
          <w:sz w:val="22"/>
          <w:szCs w:val="22"/>
        </w:rPr>
      </w:pPr>
    </w:p>
    <w:p w:rsidR="00E33E79" w:rsidRPr="009B12FF" w:rsidRDefault="00E33E79" w:rsidP="000847DA">
      <w:pPr>
        <w:jc w:val="both"/>
        <w:rPr>
          <w:rFonts w:ascii="Arial" w:hAnsi="Arial" w:cs="Arial"/>
          <w:b/>
          <w:sz w:val="22"/>
          <w:szCs w:val="22"/>
        </w:rPr>
      </w:pPr>
      <w:r w:rsidRPr="009B12FF">
        <w:rPr>
          <w:rFonts w:ascii="Arial" w:hAnsi="Arial" w:cs="Arial"/>
          <w:b/>
          <w:sz w:val="22"/>
          <w:szCs w:val="22"/>
        </w:rPr>
        <w:t>Aspectos positivos externos</w:t>
      </w:r>
    </w:p>
    <w:p w:rsidR="002D61AD" w:rsidRPr="009B12FF" w:rsidRDefault="002D61AD" w:rsidP="000847DA">
      <w:pPr>
        <w:jc w:val="both"/>
        <w:rPr>
          <w:rFonts w:ascii="Arial" w:hAnsi="Arial" w:cs="Arial"/>
          <w:b/>
          <w:sz w:val="22"/>
          <w:szCs w:val="22"/>
        </w:rPr>
      </w:pPr>
    </w:p>
    <w:p w:rsidR="00E33E79" w:rsidRPr="009B12FF" w:rsidRDefault="00E33E79" w:rsidP="000847DA">
      <w:pPr>
        <w:jc w:val="both"/>
        <w:rPr>
          <w:rFonts w:ascii="Arial" w:hAnsi="Arial" w:cs="Arial"/>
          <w:sz w:val="22"/>
          <w:szCs w:val="22"/>
        </w:rPr>
      </w:pPr>
      <w:r w:rsidRPr="009B12FF">
        <w:rPr>
          <w:rFonts w:ascii="Arial" w:hAnsi="Arial" w:cs="Arial"/>
          <w:sz w:val="22"/>
          <w:szCs w:val="22"/>
        </w:rPr>
        <w:t>Para este periodo se cuenta con el aval de la Contraloría General de la República para realizar la compra de las ayudas técnicas a través de un proceso de calificación de empresas, lo que en teoría permitirá responder ágilmente a las solicitudes y disminuir el tiempo de espera para los solicitantes.</w:t>
      </w:r>
    </w:p>
    <w:p w:rsidR="002D61AD" w:rsidRPr="009B12FF" w:rsidRDefault="002D61AD" w:rsidP="000847DA">
      <w:pPr>
        <w:jc w:val="both"/>
        <w:rPr>
          <w:rFonts w:ascii="Arial" w:hAnsi="Arial" w:cs="Arial"/>
          <w:sz w:val="22"/>
          <w:szCs w:val="22"/>
        </w:rPr>
      </w:pPr>
    </w:p>
    <w:p w:rsidR="00E33E79" w:rsidRPr="009B12FF" w:rsidRDefault="00E33E79" w:rsidP="000847DA">
      <w:pPr>
        <w:jc w:val="both"/>
        <w:rPr>
          <w:rFonts w:ascii="Arial" w:hAnsi="Arial" w:cs="Arial"/>
          <w:sz w:val="22"/>
          <w:szCs w:val="22"/>
        </w:rPr>
      </w:pPr>
      <w:r w:rsidRPr="009B12FF">
        <w:rPr>
          <w:rFonts w:ascii="Arial" w:hAnsi="Arial" w:cs="Arial"/>
          <w:sz w:val="22"/>
          <w:szCs w:val="22"/>
        </w:rPr>
        <w:t>La colaboración de especialistas en la materia ha permitido que las ayudas técnicas entregadas a los beneficiarios estén acordes a sus necesidades especiales.</w:t>
      </w:r>
    </w:p>
    <w:p w:rsidR="00E33E79" w:rsidRPr="009B12FF" w:rsidRDefault="00E33E79" w:rsidP="000847DA">
      <w:pPr>
        <w:jc w:val="both"/>
        <w:rPr>
          <w:rFonts w:ascii="Arial" w:hAnsi="Arial" w:cs="Arial"/>
          <w:b/>
          <w:sz w:val="22"/>
          <w:szCs w:val="22"/>
        </w:rPr>
      </w:pPr>
    </w:p>
    <w:p w:rsidR="00BE1AB4" w:rsidRPr="009B12FF" w:rsidRDefault="00BE1AB4" w:rsidP="000847DA">
      <w:pPr>
        <w:jc w:val="both"/>
        <w:rPr>
          <w:rFonts w:ascii="Arial" w:hAnsi="Arial" w:cs="Arial"/>
          <w:b/>
          <w:sz w:val="22"/>
          <w:szCs w:val="22"/>
        </w:rPr>
      </w:pPr>
    </w:p>
    <w:p w:rsidR="00E33E79" w:rsidRPr="009B12FF" w:rsidRDefault="00E33E79" w:rsidP="000847DA">
      <w:pPr>
        <w:jc w:val="both"/>
        <w:rPr>
          <w:rFonts w:ascii="Arial" w:hAnsi="Arial" w:cs="Arial"/>
          <w:b/>
          <w:sz w:val="22"/>
          <w:szCs w:val="22"/>
        </w:rPr>
      </w:pPr>
      <w:r w:rsidRPr="009B12FF">
        <w:rPr>
          <w:rFonts w:ascii="Arial" w:hAnsi="Arial" w:cs="Arial"/>
          <w:b/>
          <w:sz w:val="22"/>
          <w:szCs w:val="22"/>
        </w:rPr>
        <w:t>Aspectos negativos internos</w:t>
      </w:r>
    </w:p>
    <w:p w:rsidR="002D61AD" w:rsidRPr="009B12FF" w:rsidRDefault="002D61AD" w:rsidP="000847DA">
      <w:pPr>
        <w:jc w:val="both"/>
        <w:rPr>
          <w:rFonts w:ascii="Arial" w:hAnsi="Arial" w:cs="Arial"/>
          <w:b/>
          <w:sz w:val="22"/>
          <w:szCs w:val="22"/>
        </w:rPr>
      </w:pPr>
    </w:p>
    <w:p w:rsidR="00E33E79" w:rsidRPr="009B12FF" w:rsidRDefault="00E33E79" w:rsidP="000847DA">
      <w:pPr>
        <w:jc w:val="both"/>
        <w:rPr>
          <w:rFonts w:ascii="Arial" w:hAnsi="Arial" w:cs="Arial"/>
          <w:sz w:val="22"/>
          <w:szCs w:val="22"/>
        </w:rPr>
      </w:pPr>
      <w:r w:rsidRPr="009B12FF">
        <w:rPr>
          <w:rFonts w:ascii="Arial" w:hAnsi="Arial" w:cs="Arial"/>
          <w:sz w:val="22"/>
          <w:szCs w:val="22"/>
        </w:rPr>
        <w:t>El trámite interno para el estudio, análisis y aprobación de las ayudas técnicas, además de requisitos externos que deben cumplir los beneficiarios; proceso que contempla desde la solicitud inicial, viabilidad, estudios técnicos preliminares, visitas de campo, procesos licitatorios, entre otros.</w:t>
      </w:r>
    </w:p>
    <w:p w:rsidR="00CC2267" w:rsidRPr="009B12FF" w:rsidRDefault="00CC2267" w:rsidP="000847DA">
      <w:pPr>
        <w:jc w:val="both"/>
        <w:rPr>
          <w:rFonts w:ascii="Arial" w:hAnsi="Arial" w:cs="Arial"/>
          <w:sz w:val="22"/>
          <w:szCs w:val="22"/>
        </w:rPr>
      </w:pPr>
    </w:p>
    <w:p w:rsidR="00E33E79" w:rsidRPr="009B12FF" w:rsidRDefault="00E33E79" w:rsidP="000847DA">
      <w:pPr>
        <w:jc w:val="both"/>
        <w:rPr>
          <w:rFonts w:ascii="Arial" w:hAnsi="Arial" w:cs="Arial"/>
          <w:sz w:val="22"/>
          <w:szCs w:val="22"/>
        </w:rPr>
      </w:pPr>
      <w:r w:rsidRPr="009B12FF">
        <w:rPr>
          <w:rFonts w:ascii="Arial" w:hAnsi="Arial" w:cs="Arial"/>
          <w:sz w:val="22"/>
          <w:szCs w:val="22"/>
        </w:rPr>
        <w:t>Por otro lado, la generación de los recursos se realiza mes a mes hasta cumplir con los fondos suficientes para pagar la correspondiente licitación, así como la gestión de la empresa designada, que en la mayoría de los casos, por su alta calidad y especificaciones técnicas, son importados por fabricantes extranjeros.</w:t>
      </w:r>
    </w:p>
    <w:p w:rsidR="007D6B89" w:rsidRPr="009B12FF" w:rsidRDefault="007D6B89" w:rsidP="000847DA">
      <w:pPr>
        <w:jc w:val="both"/>
        <w:rPr>
          <w:rFonts w:ascii="Arial" w:hAnsi="Arial" w:cs="Arial"/>
          <w:b/>
          <w:sz w:val="22"/>
          <w:szCs w:val="22"/>
        </w:rPr>
      </w:pPr>
    </w:p>
    <w:p w:rsidR="00BE1AB4" w:rsidRPr="009B12FF" w:rsidRDefault="00BE1AB4" w:rsidP="000847DA">
      <w:pPr>
        <w:jc w:val="both"/>
        <w:rPr>
          <w:rFonts w:ascii="Arial" w:hAnsi="Arial" w:cs="Arial"/>
          <w:b/>
          <w:sz w:val="22"/>
          <w:szCs w:val="22"/>
        </w:rPr>
      </w:pPr>
    </w:p>
    <w:p w:rsidR="00E33E79" w:rsidRPr="009B12FF" w:rsidRDefault="00E33E79" w:rsidP="000847DA">
      <w:pPr>
        <w:jc w:val="both"/>
        <w:rPr>
          <w:rFonts w:ascii="Arial" w:hAnsi="Arial" w:cs="Arial"/>
          <w:b/>
          <w:sz w:val="22"/>
          <w:szCs w:val="22"/>
        </w:rPr>
      </w:pPr>
      <w:r w:rsidRPr="009B12FF">
        <w:rPr>
          <w:rFonts w:ascii="Arial" w:hAnsi="Arial" w:cs="Arial"/>
          <w:b/>
          <w:sz w:val="22"/>
          <w:szCs w:val="22"/>
        </w:rPr>
        <w:t>Cómo repercutió en l</w:t>
      </w:r>
      <w:r w:rsidR="00172E70" w:rsidRPr="009B12FF">
        <w:rPr>
          <w:rFonts w:ascii="Arial" w:hAnsi="Arial" w:cs="Arial"/>
          <w:b/>
          <w:sz w:val="22"/>
          <w:szCs w:val="22"/>
        </w:rPr>
        <w:t>a entrega de bienes y servicios</w:t>
      </w:r>
    </w:p>
    <w:p w:rsidR="00A821F1" w:rsidRPr="009B12FF" w:rsidRDefault="00A821F1" w:rsidP="000847DA">
      <w:pPr>
        <w:jc w:val="both"/>
        <w:rPr>
          <w:rFonts w:ascii="Arial" w:hAnsi="Arial" w:cs="Arial"/>
          <w:b/>
          <w:sz w:val="22"/>
          <w:szCs w:val="22"/>
        </w:rPr>
      </w:pPr>
    </w:p>
    <w:p w:rsidR="00E33E79" w:rsidRPr="009B12FF" w:rsidRDefault="00E33E79" w:rsidP="000847DA">
      <w:pPr>
        <w:pStyle w:val="Prrafodelista"/>
        <w:spacing w:line="240" w:lineRule="auto"/>
        <w:ind w:left="0"/>
        <w:jc w:val="both"/>
        <w:rPr>
          <w:rFonts w:ascii="Arial" w:hAnsi="Arial" w:cs="Arial"/>
        </w:rPr>
      </w:pPr>
      <w:r w:rsidRPr="009B12FF">
        <w:rPr>
          <w:rFonts w:ascii="Arial" w:hAnsi="Arial" w:cs="Arial"/>
        </w:rPr>
        <w:t>La entrega de los recursos por ayudas técnicas incide positivamente en la atención de los beneficiarios que obtendrán un mejoramiento en las condiciones de la calidad vida con la dotación de prótesis y sillas de rueda.</w:t>
      </w:r>
    </w:p>
    <w:p w:rsidR="00E33E79" w:rsidRDefault="00E33E79" w:rsidP="000847DA">
      <w:pPr>
        <w:pStyle w:val="Prrafodelista"/>
        <w:spacing w:line="240" w:lineRule="auto"/>
        <w:jc w:val="both"/>
        <w:rPr>
          <w:rFonts w:ascii="Arial" w:hAnsi="Arial" w:cs="Arial"/>
        </w:rPr>
      </w:pPr>
    </w:p>
    <w:p w:rsidR="008226DE" w:rsidRDefault="008226DE" w:rsidP="000847DA">
      <w:pPr>
        <w:pStyle w:val="Prrafodelista"/>
        <w:spacing w:line="240" w:lineRule="auto"/>
        <w:jc w:val="both"/>
        <w:rPr>
          <w:rFonts w:ascii="Arial" w:hAnsi="Arial" w:cs="Arial"/>
        </w:rPr>
      </w:pPr>
    </w:p>
    <w:p w:rsidR="008226DE" w:rsidRDefault="008226DE" w:rsidP="000847DA">
      <w:pPr>
        <w:pStyle w:val="Prrafodelista"/>
        <w:spacing w:line="240" w:lineRule="auto"/>
        <w:jc w:val="both"/>
        <w:rPr>
          <w:rFonts w:ascii="Arial" w:hAnsi="Arial" w:cs="Arial"/>
        </w:rPr>
      </w:pPr>
    </w:p>
    <w:p w:rsidR="008226DE" w:rsidRPr="009B12FF" w:rsidRDefault="008226DE" w:rsidP="000847DA">
      <w:pPr>
        <w:pStyle w:val="Prrafodelista"/>
        <w:spacing w:line="240" w:lineRule="auto"/>
        <w:jc w:val="both"/>
        <w:rPr>
          <w:rFonts w:ascii="Arial" w:hAnsi="Arial" w:cs="Arial"/>
        </w:rPr>
      </w:pPr>
    </w:p>
    <w:p w:rsidR="00BE1AB4" w:rsidRPr="009B12FF" w:rsidRDefault="00BE1AB4" w:rsidP="000847DA">
      <w:pPr>
        <w:pStyle w:val="Prrafodelista"/>
        <w:spacing w:line="240" w:lineRule="auto"/>
        <w:jc w:val="both"/>
        <w:rPr>
          <w:rFonts w:ascii="Arial" w:hAnsi="Arial" w:cs="Arial"/>
        </w:rPr>
      </w:pPr>
    </w:p>
    <w:p w:rsidR="00BE1AB4" w:rsidRPr="009B12FF" w:rsidRDefault="00BE1AB4" w:rsidP="000847DA">
      <w:pPr>
        <w:pStyle w:val="Prrafodelista"/>
        <w:spacing w:line="240" w:lineRule="auto"/>
        <w:jc w:val="both"/>
        <w:rPr>
          <w:rFonts w:ascii="Arial" w:hAnsi="Arial" w:cs="Arial"/>
        </w:rPr>
      </w:pPr>
    </w:p>
    <w:p w:rsidR="00BE1AB4" w:rsidRPr="009B12FF" w:rsidRDefault="00BE1AB4" w:rsidP="000847DA">
      <w:pPr>
        <w:pStyle w:val="Prrafodelista"/>
        <w:spacing w:line="240" w:lineRule="auto"/>
        <w:jc w:val="both"/>
        <w:rPr>
          <w:rFonts w:ascii="Arial" w:hAnsi="Arial" w:cs="Arial"/>
        </w:rPr>
      </w:pPr>
    </w:p>
    <w:p w:rsidR="00326994" w:rsidRPr="009B12FF" w:rsidRDefault="00462EEB" w:rsidP="009A7603">
      <w:pPr>
        <w:pStyle w:val="Ttulo1"/>
        <w:numPr>
          <w:ilvl w:val="0"/>
          <w:numId w:val="9"/>
        </w:numPr>
        <w:tabs>
          <w:tab w:val="clear" w:pos="1080"/>
          <w:tab w:val="num" w:pos="0"/>
        </w:tabs>
        <w:spacing w:before="0" w:after="0"/>
        <w:ind w:hanging="1080"/>
        <w:jc w:val="both"/>
        <w:rPr>
          <w:b w:val="0"/>
          <w:color w:val="000000" w:themeColor="text1"/>
          <w:sz w:val="22"/>
          <w:szCs w:val="22"/>
        </w:rPr>
      </w:pPr>
      <w:bookmarkStart w:id="25" w:name="_Toc376955562"/>
      <w:r w:rsidRPr="009B12FF">
        <w:rPr>
          <w:b w:val="0"/>
          <w:color w:val="000000" w:themeColor="text1"/>
          <w:sz w:val="22"/>
          <w:szCs w:val="22"/>
        </w:rPr>
        <w:t>Resumen del cumplimiento de las metas de los programas sustantivos según las categorías de valoración</w:t>
      </w:r>
      <w:bookmarkEnd w:id="25"/>
    </w:p>
    <w:p w:rsidR="002266E8" w:rsidRDefault="002266E8" w:rsidP="009A7603">
      <w:pPr>
        <w:rPr>
          <w:rFonts w:ascii="Arial" w:hAnsi="Arial" w:cs="Arial"/>
          <w:color w:val="000000" w:themeColor="text1"/>
          <w:sz w:val="22"/>
          <w:szCs w:val="22"/>
        </w:rPr>
      </w:pPr>
    </w:p>
    <w:tbl>
      <w:tblPr>
        <w:tblW w:w="8117" w:type="dxa"/>
        <w:jc w:val="center"/>
        <w:tblCellMar>
          <w:left w:w="70" w:type="dxa"/>
          <w:right w:w="70" w:type="dxa"/>
        </w:tblCellMar>
        <w:tblLook w:val="0000" w:firstRow="0" w:lastRow="0" w:firstColumn="0" w:lastColumn="0" w:noHBand="0" w:noVBand="0"/>
      </w:tblPr>
      <w:tblGrid>
        <w:gridCol w:w="4114"/>
        <w:gridCol w:w="1547"/>
        <w:gridCol w:w="2456"/>
      </w:tblGrid>
      <w:tr w:rsidR="00384646" w:rsidRPr="009B12FF" w:rsidTr="006D4E67">
        <w:trPr>
          <w:trHeight w:val="231"/>
          <w:jc w:val="center"/>
        </w:trPr>
        <w:tc>
          <w:tcPr>
            <w:tcW w:w="8117" w:type="dxa"/>
            <w:gridSpan w:val="3"/>
            <w:tcBorders>
              <w:top w:val="nil"/>
              <w:left w:val="nil"/>
              <w:bottom w:val="nil"/>
              <w:right w:val="nil"/>
            </w:tcBorders>
            <w:vAlign w:val="bottom"/>
          </w:tcPr>
          <w:p w:rsidR="00384646" w:rsidRPr="009B12FF" w:rsidRDefault="00462EEB" w:rsidP="009A7603">
            <w:pPr>
              <w:jc w:val="center"/>
              <w:rPr>
                <w:rFonts w:ascii="Arial" w:hAnsi="Arial" w:cs="Arial"/>
                <w:bCs/>
                <w:color w:val="000000" w:themeColor="text1"/>
                <w:sz w:val="22"/>
                <w:szCs w:val="22"/>
              </w:rPr>
            </w:pPr>
            <w:bookmarkStart w:id="26" w:name="OLE_LINK3"/>
            <w:r w:rsidRPr="009B12FF">
              <w:rPr>
                <w:rFonts w:ascii="Arial" w:hAnsi="Arial" w:cs="Arial"/>
                <w:bCs/>
                <w:color w:val="000000" w:themeColor="text1"/>
                <w:sz w:val="22"/>
                <w:szCs w:val="22"/>
              </w:rPr>
              <w:t>Resumen metas de indicadores de los programas sustantivos</w:t>
            </w:r>
          </w:p>
          <w:p w:rsidR="00294098" w:rsidRPr="009B12FF" w:rsidRDefault="00294098" w:rsidP="009A7603">
            <w:pPr>
              <w:jc w:val="center"/>
              <w:rPr>
                <w:rFonts w:ascii="Arial" w:hAnsi="Arial" w:cs="Arial"/>
                <w:bCs/>
                <w:color w:val="000000" w:themeColor="text1"/>
                <w:sz w:val="22"/>
                <w:szCs w:val="22"/>
              </w:rPr>
            </w:pPr>
          </w:p>
        </w:tc>
      </w:tr>
      <w:tr w:rsidR="00384646" w:rsidRPr="009B12FF" w:rsidTr="006D4E67">
        <w:trPr>
          <w:trHeight w:val="219"/>
          <w:jc w:val="center"/>
        </w:trPr>
        <w:tc>
          <w:tcPr>
            <w:tcW w:w="8117" w:type="dxa"/>
            <w:gridSpan w:val="3"/>
            <w:tcBorders>
              <w:top w:val="nil"/>
              <w:left w:val="nil"/>
              <w:bottom w:val="nil"/>
              <w:right w:val="nil"/>
            </w:tcBorders>
            <w:vAlign w:val="bottom"/>
          </w:tcPr>
          <w:p w:rsidR="00F91D48" w:rsidRPr="009B12FF" w:rsidRDefault="0030517E" w:rsidP="006D4E67">
            <w:pPr>
              <w:jc w:val="center"/>
              <w:rPr>
                <w:rFonts w:ascii="Arial" w:hAnsi="Arial" w:cs="Arial"/>
                <w:b/>
                <w:bCs/>
                <w:color w:val="000000" w:themeColor="text1"/>
                <w:sz w:val="22"/>
                <w:szCs w:val="22"/>
              </w:rPr>
            </w:pPr>
            <w:r w:rsidRPr="009B12FF">
              <w:rPr>
                <w:rFonts w:ascii="Arial" w:hAnsi="Arial" w:cs="Arial"/>
                <w:b/>
                <w:bCs/>
                <w:color w:val="000000" w:themeColor="text1"/>
                <w:sz w:val="22"/>
                <w:szCs w:val="22"/>
              </w:rPr>
              <w:t>PERIODO-</w:t>
            </w:r>
            <w:r w:rsidR="00384646" w:rsidRPr="009B12FF">
              <w:rPr>
                <w:rFonts w:ascii="Arial" w:hAnsi="Arial" w:cs="Arial"/>
                <w:b/>
                <w:bCs/>
                <w:color w:val="000000" w:themeColor="text1"/>
                <w:sz w:val="22"/>
                <w:szCs w:val="22"/>
              </w:rPr>
              <w:t xml:space="preserve"> 201</w:t>
            </w:r>
            <w:r w:rsidR="00462EEB" w:rsidRPr="009B12FF">
              <w:rPr>
                <w:rFonts w:ascii="Arial" w:hAnsi="Arial" w:cs="Arial"/>
                <w:b/>
                <w:bCs/>
                <w:color w:val="000000" w:themeColor="text1"/>
                <w:sz w:val="22"/>
                <w:szCs w:val="22"/>
              </w:rPr>
              <w:t>2</w:t>
            </w:r>
          </w:p>
        </w:tc>
      </w:tr>
      <w:tr w:rsidR="00384646" w:rsidRPr="009B12FF" w:rsidTr="006D4E67">
        <w:trPr>
          <w:trHeight w:val="231"/>
          <w:jc w:val="center"/>
        </w:trPr>
        <w:tc>
          <w:tcPr>
            <w:tcW w:w="4114"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384646" w:rsidRPr="009B12FF" w:rsidRDefault="0004631C" w:rsidP="009A7603">
            <w:pPr>
              <w:jc w:val="center"/>
              <w:rPr>
                <w:rFonts w:ascii="Arial" w:hAnsi="Arial" w:cs="Arial"/>
                <w:b/>
                <w:bCs/>
                <w:color w:val="F2F2F2" w:themeColor="background1" w:themeShade="F2"/>
                <w:sz w:val="22"/>
                <w:szCs w:val="22"/>
              </w:rPr>
            </w:pPr>
            <w:r w:rsidRPr="009B12FF">
              <w:rPr>
                <w:rFonts w:ascii="Arial" w:hAnsi="Arial" w:cs="Arial"/>
                <w:b/>
                <w:bCs/>
                <w:color w:val="F2F2F2" w:themeColor="background1" w:themeShade="F2"/>
                <w:sz w:val="22"/>
                <w:szCs w:val="22"/>
              </w:rPr>
              <w:t>Clasificación del resultado</w:t>
            </w:r>
          </w:p>
        </w:tc>
        <w:tc>
          <w:tcPr>
            <w:tcW w:w="4003" w:type="dxa"/>
            <w:gridSpan w:val="2"/>
            <w:tcBorders>
              <w:top w:val="single" w:sz="4" w:space="0" w:color="auto"/>
              <w:left w:val="nil"/>
              <w:bottom w:val="single" w:sz="4" w:space="0" w:color="auto"/>
              <w:right w:val="single" w:sz="4" w:space="0" w:color="auto"/>
            </w:tcBorders>
            <w:shd w:val="clear" w:color="auto" w:fill="365F91" w:themeFill="accent1" w:themeFillShade="BF"/>
            <w:vAlign w:val="center"/>
          </w:tcPr>
          <w:p w:rsidR="00384646" w:rsidRPr="009B12FF" w:rsidRDefault="0004631C" w:rsidP="009A7603">
            <w:pPr>
              <w:jc w:val="center"/>
              <w:rPr>
                <w:rFonts w:ascii="Arial" w:hAnsi="Arial" w:cs="Arial"/>
                <w:b/>
                <w:bCs/>
                <w:color w:val="F2F2F2" w:themeColor="background1" w:themeShade="F2"/>
                <w:sz w:val="22"/>
                <w:szCs w:val="22"/>
              </w:rPr>
            </w:pPr>
            <w:r w:rsidRPr="009B12FF">
              <w:rPr>
                <w:rFonts w:ascii="Arial" w:hAnsi="Arial" w:cs="Arial"/>
                <w:b/>
                <w:bCs/>
                <w:color w:val="F2F2F2" w:themeColor="background1" w:themeShade="F2"/>
                <w:sz w:val="22"/>
                <w:szCs w:val="22"/>
              </w:rPr>
              <w:t xml:space="preserve">Resultados de la matriz de seguimiento de metas </w:t>
            </w:r>
          </w:p>
        </w:tc>
      </w:tr>
      <w:tr w:rsidR="00384646" w:rsidRPr="009B12FF" w:rsidTr="006D4E67">
        <w:trPr>
          <w:trHeight w:val="231"/>
          <w:jc w:val="center"/>
        </w:trPr>
        <w:tc>
          <w:tcPr>
            <w:tcW w:w="4114" w:type="dxa"/>
            <w:tcBorders>
              <w:top w:val="nil"/>
              <w:left w:val="single" w:sz="4" w:space="0" w:color="auto"/>
              <w:bottom w:val="single" w:sz="4" w:space="0" w:color="auto"/>
              <w:right w:val="single" w:sz="4" w:space="0" w:color="auto"/>
            </w:tcBorders>
            <w:noWrap/>
            <w:vAlign w:val="bottom"/>
          </w:tcPr>
          <w:p w:rsidR="00384646" w:rsidRPr="009B12FF" w:rsidRDefault="00384646" w:rsidP="009A7603">
            <w:pPr>
              <w:jc w:val="both"/>
              <w:rPr>
                <w:rFonts w:ascii="Arial" w:hAnsi="Arial" w:cs="Arial"/>
                <w:color w:val="000000" w:themeColor="text1"/>
                <w:sz w:val="22"/>
                <w:szCs w:val="22"/>
              </w:rPr>
            </w:pPr>
            <w:r w:rsidRPr="009B12FF">
              <w:rPr>
                <w:rFonts w:ascii="Arial" w:hAnsi="Arial" w:cs="Arial"/>
                <w:color w:val="000000" w:themeColor="text1"/>
                <w:sz w:val="22"/>
                <w:szCs w:val="22"/>
              </w:rPr>
              <w:t> </w:t>
            </w:r>
          </w:p>
        </w:tc>
        <w:tc>
          <w:tcPr>
            <w:tcW w:w="1547" w:type="dxa"/>
            <w:tcBorders>
              <w:top w:val="single" w:sz="4" w:space="0" w:color="auto"/>
              <w:left w:val="nil"/>
              <w:bottom w:val="single" w:sz="4" w:space="0" w:color="auto"/>
              <w:right w:val="single" w:sz="4" w:space="0" w:color="auto"/>
            </w:tcBorders>
            <w:vAlign w:val="center"/>
          </w:tcPr>
          <w:p w:rsidR="00384646" w:rsidRPr="009B12FF" w:rsidRDefault="00384646" w:rsidP="009A7603">
            <w:pPr>
              <w:jc w:val="center"/>
              <w:rPr>
                <w:rFonts w:ascii="Arial" w:hAnsi="Arial" w:cs="Arial"/>
                <w:b/>
                <w:bCs/>
                <w:color w:val="000000" w:themeColor="text1"/>
                <w:sz w:val="22"/>
                <w:szCs w:val="22"/>
              </w:rPr>
            </w:pPr>
            <w:r w:rsidRPr="009B12FF">
              <w:rPr>
                <w:rFonts w:ascii="Arial" w:hAnsi="Arial" w:cs="Arial"/>
                <w:b/>
                <w:bCs/>
                <w:color w:val="000000" w:themeColor="text1"/>
                <w:sz w:val="22"/>
                <w:szCs w:val="22"/>
              </w:rPr>
              <w:t>Programadas</w:t>
            </w:r>
          </w:p>
        </w:tc>
        <w:tc>
          <w:tcPr>
            <w:tcW w:w="2456" w:type="dxa"/>
            <w:tcBorders>
              <w:top w:val="single" w:sz="4" w:space="0" w:color="auto"/>
              <w:left w:val="nil"/>
              <w:bottom w:val="single" w:sz="4" w:space="0" w:color="auto"/>
              <w:right w:val="single" w:sz="4" w:space="0" w:color="auto"/>
            </w:tcBorders>
            <w:vAlign w:val="bottom"/>
          </w:tcPr>
          <w:p w:rsidR="00384646" w:rsidRPr="009B12FF" w:rsidRDefault="00384646" w:rsidP="009A7603">
            <w:pPr>
              <w:jc w:val="center"/>
              <w:rPr>
                <w:rFonts w:ascii="Arial" w:hAnsi="Arial" w:cs="Arial"/>
                <w:b/>
                <w:bCs/>
                <w:color w:val="000000" w:themeColor="text1"/>
                <w:sz w:val="22"/>
                <w:szCs w:val="22"/>
              </w:rPr>
            </w:pPr>
            <w:r w:rsidRPr="009B12FF">
              <w:rPr>
                <w:rFonts w:ascii="Arial" w:hAnsi="Arial" w:cs="Arial"/>
                <w:b/>
                <w:bCs/>
                <w:color w:val="000000" w:themeColor="text1"/>
                <w:sz w:val="22"/>
                <w:szCs w:val="22"/>
              </w:rPr>
              <w:t xml:space="preserve"># Metas </w:t>
            </w:r>
          </w:p>
        </w:tc>
      </w:tr>
      <w:tr w:rsidR="0030517E" w:rsidRPr="009B12FF" w:rsidTr="006D4E67">
        <w:trPr>
          <w:trHeight w:val="208"/>
          <w:jc w:val="center"/>
        </w:trPr>
        <w:tc>
          <w:tcPr>
            <w:tcW w:w="4114" w:type="dxa"/>
            <w:tcBorders>
              <w:top w:val="nil"/>
              <w:left w:val="single" w:sz="4" w:space="0" w:color="auto"/>
              <w:bottom w:val="single" w:sz="4" w:space="0" w:color="auto"/>
              <w:right w:val="single" w:sz="4" w:space="0" w:color="auto"/>
            </w:tcBorders>
            <w:vAlign w:val="bottom"/>
          </w:tcPr>
          <w:p w:rsidR="0030517E" w:rsidRPr="009B12FF" w:rsidRDefault="0030517E" w:rsidP="009A7603">
            <w:pPr>
              <w:jc w:val="both"/>
              <w:rPr>
                <w:rFonts w:ascii="Arial" w:hAnsi="Arial" w:cs="Arial"/>
                <w:color w:val="000000" w:themeColor="text1"/>
                <w:sz w:val="22"/>
                <w:szCs w:val="22"/>
              </w:rPr>
            </w:pPr>
            <w:r w:rsidRPr="009B12FF">
              <w:rPr>
                <w:rFonts w:ascii="Arial" w:hAnsi="Arial" w:cs="Arial"/>
                <w:color w:val="000000" w:themeColor="text1"/>
                <w:sz w:val="22"/>
                <w:szCs w:val="22"/>
              </w:rPr>
              <w:t>Metas cumplidas</w:t>
            </w:r>
            <w:r w:rsidR="0004631C" w:rsidRPr="009B12FF">
              <w:rPr>
                <w:rFonts w:ascii="Arial" w:hAnsi="Arial" w:cs="Arial"/>
                <w:color w:val="000000" w:themeColor="text1"/>
                <w:sz w:val="22"/>
                <w:szCs w:val="22"/>
              </w:rPr>
              <w:t xml:space="preserve"> (MC)= 100%</w:t>
            </w:r>
          </w:p>
        </w:tc>
        <w:tc>
          <w:tcPr>
            <w:tcW w:w="1547" w:type="dxa"/>
            <w:vMerge w:val="restart"/>
            <w:tcBorders>
              <w:top w:val="single" w:sz="4" w:space="0" w:color="auto"/>
              <w:left w:val="single" w:sz="4" w:space="0" w:color="auto"/>
              <w:bottom w:val="single" w:sz="4" w:space="0" w:color="auto"/>
              <w:right w:val="single" w:sz="4" w:space="0" w:color="auto"/>
            </w:tcBorders>
            <w:noWrap/>
            <w:vAlign w:val="bottom"/>
          </w:tcPr>
          <w:p w:rsidR="0030517E" w:rsidRPr="009B12FF" w:rsidRDefault="0030517E" w:rsidP="0004631C">
            <w:pPr>
              <w:jc w:val="center"/>
              <w:rPr>
                <w:rFonts w:ascii="Arial" w:hAnsi="Arial" w:cs="Arial"/>
                <w:color w:val="000000" w:themeColor="text1"/>
                <w:sz w:val="22"/>
                <w:szCs w:val="22"/>
              </w:rPr>
            </w:pPr>
          </w:p>
        </w:tc>
        <w:tc>
          <w:tcPr>
            <w:tcW w:w="2456" w:type="dxa"/>
            <w:tcBorders>
              <w:top w:val="single" w:sz="4" w:space="0" w:color="auto"/>
              <w:left w:val="nil"/>
              <w:bottom w:val="single" w:sz="4" w:space="0" w:color="auto"/>
              <w:right w:val="single" w:sz="4" w:space="0" w:color="auto"/>
            </w:tcBorders>
            <w:noWrap/>
            <w:vAlign w:val="bottom"/>
          </w:tcPr>
          <w:p w:rsidR="0030517E" w:rsidRPr="009B12FF" w:rsidRDefault="00814E26" w:rsidP="00062340">
            <w:pPr>
              <w:jc w:val="center"/>
              <w:rPr>
                <w:rFonts w:ascii="Arial" w:hAnsi="Arial" w:cs="Arial"/>
                <w:color w:val="000000" w:themeColor="text1"/>
                <w:sz w:val="22"/>
                <w:szCs w:val="22"/>
              </w:rPr>
            </w:pPr>
            <w:r>
              <w:rPr>
                <w:rFonts w:ascii="Arial" w:hAnsi="Arial" w:cs="Arial"/>
                <w:color w:val="000000" w:themeColor="text1"/>
                <w:sz w:val="22"/>
                <w:szCs w:val="22"/>
              </w:rPr>
              <w:t xml:space="preserve">  </w:t>
            </w:r>
            <w:r w:rsidR="00CD64AA" w:rsidRPr="00A56653">
              <w:rPr>
                <w:rFonts w:ascii="Arial" w:hAnsi="Arial" w:cs="Arial"/>
                <w:color w:val="000000" w:themeColor="text1"/>
                <w:sz w:val="22"/>
                <w:szCs w:val="22"/>
              </w:rPr>
              <w:t>10</w:t>
            </w:r>
          </w:p>
        </w:tc>
      </w:tr>
      <w:tr w:rsidR="0004631C" w:rsidRPr="009B12FF" w:rsidTr="006D4E67">
        <w:trPr>
          <w:trHeight w:val="208"/>
          <w:jc w:val="center"/>
        </w:trPr>
        <w:tc>
          <w:tcPr>
            <w:tcW w:w="4114" w:type="dxa"/>
            <w:tcBorders>
              <w:top w:val="nil"/>
              <w:left w:val="single" w:sz="4" w:space="0" w:color="auto"/>
              <w:bottom w:val="single" w:sz="4" w:space="0" w:color="auto"/>
              <w:right w:val="single" w:sz="4" w:space="0" w:color="auto"/>
            </w:tcBorders>
            <w:vAlign w:val="bottom"/>
          </w:tcPr>
          <w:p w:rsidR="0004631C" w:rsidRPr="009B12FF" w:rsidRDefault="0004631C" w:rsidP="009A7603">
            <w:pPr>
              <w:jc w:val="both"/>
              <w:rPr>
                <w:rFonts w:ascii="Arial" w:hAnsi="Arial" w:cs="Arial"/>
                <w:color w:val="000000" w:themeColor="text1"/>
                <w:sz w:val="22"/>
                <w:szCs w:val="22"/>
              </w:rPr>
            </w:pPr>
            <w:r w:rsidRPr="009B12FF">
              <w:rPr>
                <w:rFonts w:ascii="Arial" w:hAnsi="Arial" w:cs="Arial"/>
                <w:color w:val="000000" w:themeColor="text1"/>
                <w:sz w:val="22"/>
                <w:szCs w:val="22"/>
              </w:rPr>
              <w:t>Metas parcialmente cumplidas (MPC)=99%-81%</w:t>
            </w:r>
          </w:p>
        </w:tc>
        <w:tc>
          <w:tcPr>
            <w:tcW w:w="1547" w:type="dxa"/>
            <w:vMerge/>
            <w:tcBorders>
              <w:top w:val="nil"/>
              <w:left w:val="single" w:sz="4" w:space="0" w:color="auto"/>
              <w:bottom w:val="single" w:sz="4" w:space="0" w:color="auto"/>
              <w:right w:val="single" w:sz="4" w:space="0" w:color="auto"/>
            </w:tcBorders>
            <w:vAlign w:val="center"/>
          </w:tcPr>
          <w:p w:rsidR="0004631C" w:rsidRPr="009B12FF" w:rsidRDefault="0004631C" w:rsidP="009A7603">
            <w:pPr>
              <w:rPr>
                <w:rFonts w:ascii="Arial" w:hAnsi="Arial" w:cs="Arial"/>
                <w:color w:val="000000" w:themeColor="text1"/>
                <w:sz w:val="22"/>
                <w:szCs w:val="22"/>
              </w:rPr>
            </w:pPr>
          </w:p>
        </w:tc>
        <w:tc>
          <w:tcPr>
            <w:tcW w:w="2456" w:type="dxa"/>
            <w:tcBorders>
              <w:top w:val="single" w:sz="4" w:space="0" w:color="auto"/>
              <w:left w:val="nil"/>
              <w:bottom w:val="single" w:sz="4" w:space="0" w:color="auto"/>
              <w:right w:val="single" w:sz="4" w:space="0" w:color="auto"/>
            </w:tcBorders>
            <w:noWrap/>
            <w:vAlign w:val="bottom"/>
          </w:tcPr>
          <w:p w:rsidR="0004631C" w:rsidRPr="009B12FF" w:rsidRDefault="001E1EC4" w:rsidP="00A56653">
            <w:pPr>
              <w:jc w:val="center"/>
              <w:rPr>
                <w:rFonts w:ascii="Arial" w:hAnsi="Arial" w:cs="Arial"/>
                <w:color w:val="000000" w:themeColor="text1"/>
                <w:sz w:val="22"/>
                <w:szCs w:val="22"/>
              </w:rPr>
            </w:pPr>
            <w:r>
              <w:rPr>
                <w:rFonts w:ascii="Arial" w:hAnsi="Arial" w:cs="Arial"/>
                <w:color w:val="000000" w:themeColor="text1"/>
                <w:sz w:val="22"/>
                <w:szCs w:val="22"/>
              </w:rPr>
              <w:t>1</w:t>
            </w:r>
            <w:r w:rsidR="00814E26">
              <w:rPr>
                <w:rFonts w:ascii="Arial" w:hAnsi="Arial" w:cs="Arial"/>
                <w:color w:val="000000" w:themeColor="text1"/>
                <w:sz w:val="22"/>
                <w:szCs w:val="22"/>
              </w:rPr>
              <w:t xml:space="preserve"> </w:t>
            </w:r>
          </w:p>
        </w:tc>
      </w:tr>
      <w:tr w:rsidR="0004631C" w:rsidRPr="009B12FF" w:rsidTr="006D4E67">
        <w:trPr>
          <w:trHeight w:val="208"/>
          <w:jc w:val="center"/>
        </w:trPr>
        <w:tc>
          <w:tcPr>
            <w:tcW w:w="4114" w:type="dxa"/>
            <w:tcBorders>
              <w:top w:val="nil"/>
              <w:left w:val="single" w:sz="4" w:space="0" w:color="auto"/>
              <w:bottom w:val="single" w:sz="4" w:space="0" w:color="auto"/>
              <w:right w:val="single" w:sz="4" w:space="0" w:color="auto"/>
            </w:tcBorders>
            <w:vAlign w:val="bottom"/>
          </w:tcPr>
          <w:p w:rsidR="0004631C" w:rsidRPr="009B12FF" w:rsidRDefault="0004631C" w:rsidP="009A7603">
            <w:pPr>
              <w:jc w:val="both"/>
              <w:rPr>
                <w:rFonts w:ascii="Arial" w:hAnsi="Arial" w:cs="Arial"/>
                <w:color w:val="000000" w:themeColor="text1"/>
                <w:sz w:val="22"/>
                <w:szCs w:val="22"/>
              </w:rPr>
            </w:pPr>
            <w:r w:rsidRPr="009B12FF">
              <w:rPr>
                <w:rFonts w:ascii="Arial" w:hAnsi="Arial" w:cs="Arial"/>
                <w:color w:val="000000" w:themeColor="text1"/>
                <w:sz w:val="22"/>
                <w:szCs w:val="22"/>
              </w:rPr>
              <w:t>Meta regular (MR)=80%-71%</w:t>
            </w:r>
          </w:p>
        </w:tc>
        <w:tc>
          <w:tcPr>
            <w:tcW w:w="1547" w:type="dxa"/>
            <w:vMerge/>
            <w:tcBorders>
              <w:top w:val="nil"/>
              <w:left w:val="single" w:sz="4" w:space="0" w:color="auto"/>
              <w:bottom w:val="single" w:sz="4" w:space="0" w:color="auto"/>
              <w:right w:val="single" w:sz="4" w:space="0" w:color="auto"/>
            </w:tcBorders>
            <w:vAlign w:val="center"/>
          </w:tcPr>
          <w:p w:rsidR="0004631C" w:rsidRPr="009B12FF" w:rsidRDefault="0004631C" w:rsidP="009A7603">
            <w:pPr>
              <w:rPr>
                <w:rFonts w:ascii="Arial" w:hAnsi="Arial" w:cs="Arial"/>
                <w:color w:val="000000" w:themeColor="text1"/>
                <w:sz w:val="22"/>
                <w:szCs w:val="22"/>
              </w:rPr>
            </w:pPr>
          </w:p>
        </w:tc>
        <w:tc>
          <w:tcPr>
            <w:tcW w:w="2456" w:type="dxa"/>
            <w:tcBorders>
              <w:top w:val="single" w:sz="4" w:space="0" w:color="auto"/>
              <w:left w:val="nil"/>
              <w:bottom w:val="single" w:sz="4" w:space="0" w:color="auto"/>
              <w:right w:val="single" w:sz="4" w:space="0" w:color="auto"/>
            </w:tcBorders>
            <w:noWrap/>
            <w:vAlign w:val="bottom"/>
          </w:tcPr>
          <w:p w:rsidR="0004631C" w:rsidRPr="009B12FF" w:rsidRDefault="00814E26" w:rsidP="00A56653">
            <w:pPr>
              <w:jc w:val="center"/>
              <w:rPr>
                <w:rFonts w:ascii="Arial" w:hAnsi="Arial" w:cs="Arial"/>
                <w:color w:val="000000" w:themeColor="text1"/>
                <w:sz w:val="22"/>
                <w:szCs w:val="22"/>
              </w:rPr>
            </w:pPr>
            <w:r>
              <w:rPr>
                <w:rFonts w:ascii="Arial" w:hAnsi="Arial" w:cs="Arial"/>
                <w:color w:val="000000" w:themeColor="text1"/>
                <w:sz w:val="22"/>
                <w:szCs w:val="22"/>
              </w:rPr>
              <w:t xml:space="preserve">1  </w:t>
            </w:r>
          </w:p>
        </w:tc>
      </w:tr>
      <w:tr w:rsidR="0030517E" w:rsidRPr="009B12FF" w:rsidTr="006D4E67">
        <w:trPr>
          <w:trHeight w:val="208"/>
          <w:jc w:val="center"/>
        </w:trPr>
        <w:tc>
          <w:tcPr>
            <w:tcW w:w="4114" w:type="dxa"/>
            <w:tcBorders>
              <w:top w:val="nil"/>
              <w:left w:val="single" w:sz="4" w:space="0" w:color="auto"/>
              <w:bottom w:val="single" w:sz="4" w:space="0" w:color="auto"/>
              <w:right w:val="single" w:sz="4" w:space="0" w:color="auto"/>
            </w:tcBorders>
            <w:vAlign w:val="bottom"/>
          </w:tcPr>
          <w:p w:rsidR="0030517E" w:rsidRPr="009B12FF" w:rsidRDefault="0004631C" w:rsidP="0004631C">
            <w:pPr>
              <w:jc w:val="both"/>
              <w:rPr>
                <w:rFonts w:ascii="Arial" w:hAnsi="Arial" w:cs="Arial"/>
                <w:color w:val="000000" w:themeColor="text1"/>
                <w:sz w:val="22"/>
                <w:szCs w:val="22"/>
              </w:rPr>
            </w:pPr>
            <w:r w:rsidRPr="009B12FF">
              <w:rPr>
                <w:rFonts w:ascii="Arial" w:hAnsi="Arial" w:cs="Arial"/>
                <w:color w:val="000000" w:themeColor="text1"/>
                <w:sz w:val="22"/>
                <w:szCs w:val="22"/>
              </w:rPr>
              <w:t>Meta insuficiente (MI)=70%-1%</w:t>
            </w:r>
          </w:p>
        </w:tc>
        <w:tc>
          <w:tcPr>
            <w:tcW w:w="1547" w:type="dxa"/>
            <w:vMerge/>
            <w:tcBorders>
              <w:top w:val="nil"/>
              <w:left w:val="single" w:sz="4" w:space="0" w:color="auto"/>
              <w:bottom w:val="single" w:sz="4" w:space="0" w:color="auto"/>
              <w:right w:val="single" w:sz="4" w:space="0" w:color="auto"/>
            </w:tcBorders>
            <w:vAlign w:val="center"/>
          </w:tcPr>
          <w:p w:rsidR="0030517E" w:rsidRPr="009B12FF" w:rsidRDefault="0030517E" w:rsidP="009A7603">
            <w:pPr>
              <w:rPr>
                <w:rFonts w:ascii="Arial" w:hAnsi="Arial" w:cs="Arial"/>
                <w:color w:val="000000" w:themeColor="text1"/>
                <w:sz w:val="22"/>
                <w:szCs w:val="22"/>
              </w:rPr>
            </w:pPr>
          </w:p>
        </w:tc>
        <w:tc>
          <w:tcPr>
            <w:tcW w:w="2456" w:type="dxa"/>
            <w:tcBorders>
              <w:top w:val="single" w:sz="4" w:space="0" w:color="auto"/>
              <w:left w:val="nil"/>
              <w:bottom w:val="single" w:sz="4" w:space="0" w:color="auto"/>
              <w:right w:val="single" w:sz="4" w:space="0" w:color="auto"/>
            </w:tcBorders>
            <w:noWrap/>
            <w:vAlign w:val="bottom"/>
          </w:tcPr>
          <w:p w:rsidR="0030517E" w:rsidRPr="00814E26" w:rsidRDefault="00A56653" w:rsidP="00A56653">
            <w:pPr>
              <w:jc w:val="center"/>
              <w:rPr>
                <w:rFonts w:ascii="Arial" w:hAnsi="Arial" w:cs="Arial"/>
                <w:color w:val="000000" w:themeColor="text1"/>
              </w:rPr>
            </w:pPr>
            <w:r>
              <w:rPr>
                <w:rFonts w:ascii="Arial" w:hAnsi="Arial" w:cs="Arial"/>
                <w:color w:val="000000" w:themeColor="text1"/>
              </w:rPr>
              <w:t>1</w:t>
            </w:r>
          </w:p>
        </w:tc>
      </w:tr>
      <w:tr w:rsidR="00384646" w:rsidRPr="009B12FF" w:rsidTr="006D4E67">
        <w:trPr>
          <w:trHeight w:val="208"/>
          <w:jc w:val="center"/>
        </w:trPr>
        <w:tc>
          <w:tcPr>
            <w:tcW w:w="4114" w:type="dxa"/>
            <w:tcBorders>
              <w:top w:val="nil"/>
              <w:left w:val="single" w:sz="4" w:space="0" w:color="auto"/>
              <w:bottom w:val="single" w:sz="4" w:space="0" w:color="auto"/>
              <w:right w:val="single" w:sz="4" w:space="0" w:color="auto"/>
            </w:tcBorders>
            <w:noWrap/>
            <w:vAlign w:val="bottom"/>
          </w:tcPr>
          <w:p w:rsidR="00384646" w:rsidRPr="009B12FF" w:rsidRDefault="00384646" w:rsidP="009A7603">
            <w:pPr>
              <w:jc w:val="both"/>
              <w:rPr>
                <w:rFonts w:ascii="Arial" w:hAnsi="Arial" w:cs="Arial"/>
                <w:color w:val="000000" w:themeColor="text1"/>
                <w:sz w:val="22"/>
                <w:szCs w:val="22"/>
              </w:rPr>
            </w:pPr>
            <w:r w:rsidRPr="009B12FF">
              <w:rPr>
                <w:rFonts w:ascii="Arial" w:hAnsi="Arial" w:cs="Arial"/>
                <w:color w:val="000000" w:themeColor="text1"/>
                <w:sz w:val="22"/>
                <w:szCs w:val="22"/>
              </w:rPr>
              <w:t> </w:t>
            </w:r>
            <w:r w:rsidR="0004631C" w:rsidRPr="009B12FF">
              <w:rPr>
                <w:rFonts w:ascii="Arial" w:hAnsi="Arial" w:cs="Arial"/>
                <w:color w:val="000000" w:themeColor="text1"/>
                <w:sz w:val="22"/>
                <w:szCs w:val="22"/>
              </w:rPr>
              <w:t>Metas No cumplida=0%</w:t>
            </w:r>
          </w:p>
        </w:tc>
        <w:tc>
          <w:tcPr>
            <w:tcW w:w="1547" w:type="dxa"/>
            <w:tcBorders>
              <w:top w:val="single" w:sz="4" w:space="0" w:color="auto"/>
              <w:left w:val="nil"/>
              <w:bottom w:val="single" w:sz="4" w:space="0" w:color="auto"/>
              <w:right w:val="single" w:sz="4" w:space="0" w:color="auto"/>
            </w:tcBorders>
            <w:noWrap/>
            <w:vAlign w:val="bottom"/>
          </w:tcPr>
          <w:p w:rsidR="00384646" w:rsidRPr="009B12FF" w:rsidRDefault="00384646" w:rsidP="009A7603">
            <w:pPr>
              <w:jc w:val="both"/>
              <w:rPr>
                <w:rFonts w:ascii="Arial" w:hAnsi="Arial" w:cs="Arial"/>
                <w:color w:val="000000" w:themeColor="text1"/>
                <w:sz w:val="22"/>
                <w:szCs w:val="22"/>
              </w:rPr>
            </w:pPr>
            <w:r w:rsidRPr="009B12FF">
              <w:rPr>
                <w:rFonts w:ascii="Arial" w:hAnsi="Arial" w:cs="Arial"/>
                <w:color w:val="000000" w:themeColor="text1"/>
                <w:sz w:val="22"/>
                <w:szCs w:val="22"/>
              </w:rPr>
              <w:t> </w:t>
            </w:r>
          </w:p>
        </w:tc>
        <w:tc>
          <w:tcPr>
            <w:tcW w:w="2456" w:type="dxa"/>
            <w:tcBorders>
              <w:top w:val="single" w:sz="4" w:space="0" w:color="auto"/>
              <w:left w:val="nil"/>
              <w:bottom w:val="single" w:sz="4" w:space="0" w:color="auto"/>
              <w:right w:val="single" w:sz="4" w:space="0" w:color="auto"/>
            </w:tcBorders>
            <w:noWrap/>
            <w:vAlign w:val="bottom"/>
          </w:tcPr>
          <w:p w:rsidR="00384646" w:rsidRPr="009B12FF" w:rsidRDefault="00CD64AA" w:rsidP="00814E26">
            <w:pPr>
              <w:jc w:val="center"/>
              <w:rPr>
                <w:rFonts w:ascii="Arial" w:hAnsi="Arial" w:cs="Arial"/>
                <w:color w:val="000000" w:themeColor="text1"/>
                <w:sz w:val="22"/>
                <w:szCs w:val="22"/>
              </w:rPr>
            </w:pPr>
            <w:r>
              <w:rPr>
                <w:rFonts w:ascii="Arial" w:hAnsi="Arial" w:cs="Arial"/>
                <w:color w:val="000000" w:themeColor="text1"/>
                <w:sz w:val="22"/>
                <w:szCs w:val="22"/>
              </w:rPr>
              <w:t>-</w:t>
            </w:r>
          </w:p>
        </w:tc>
      </w:tr>
      <w:tr w:rsidR="00384646" w:rsidRPr="009B12FF" w:rsidTr="006D4E67">
        <w:trPr>
          <w:trHeight w:val="219"/>
          <w:jc w:val="center"/>
        </w:trPr>
        <w:tc>
          <w:tcPr>
            <w:tcW w:w="4114" w:type="dxa"/>
            <w:tcBorders>
              <w:top w:val="nil"/>
              <w:left w:val="single" w:sz="4" w:space="0" w:color="auto"/>
              <w:bottom w:val="single" w:sz="4" w:space="0" w:color="auto"/>
              <w:right w:val="single" w:sz="4" w:space="0" w:color="auto"/>
            </w:tcBorders>
            <w:noWrap/>
            <w:vAlign w:val="bottom"/>
          </w:tcPr>
          <w:p w:rsidR="00384646" w:rsidRPr="009B12FF" w:rsidRDefault="00384646" w:rsidP="009A7603">
            <w:pPr>
              <w:jc w:val="both"/>
              <w:rPr>
                <w:rFonts w:ascii="Arial" w:hAnsi="Arial" w:cs="Arial"/>
                <w:b/>
                <w:bCs/>
                <w:color w:val="000000" w:themeColor="text1"/>
                <w:sz w:val="22"/>
                <w:szCs w:val="22"/>
              </w:rPr>
            </w:pPr>
            <w:r w:rsidRPr="009B12FF">
              <w:rPr>
                <w:rFonts w:ascii="Arial" w:hAnsi="Arial" w:cs="Arial"/>
                <w:b/>
                <w:bCs/>
                <w:color w:val="000000" w:themeColor="text1"/>
                <w:sz w:val="22"/>
                <w:szCs w:val="22"/>
              </w:rPr>
              <w:t>TOTALES</w:t>
            </w:r>
          </w:p>
        </w:tc>
        <w:tc>
          <w:tcPr>
            <w:tcW w:w="1547" w:type="dxa"/>
            <w:tcBorders>
              <w:top w:val="single" w:sz="4" w:space="0" w:color="auto"/>
              <w:left w:val="nil"/>
              <w:bottom w:val="single" w:sz="4" w:space="0" w:color="auto"/>
              <w:right w:val="single" w:sz="4" w:space="0" w:color="auto"/>
            </w:tcBorders>
            <w:noWrap/>
            <w:vAlign w:val="bottom"/>
          </w:tcPr>
          <w:p w:rsidR="00384646" w:rsidRPr="009B12FF" w:rsidRDefault="0004631C" w:rsidP="0004631C">
            <w:pPr>
              <w:jc w:val="center"/>
              <w:rPr>
                <w:rFonts w:ascii="Arial" w:hAnsi="Arial" w:cs="Arial"/>
                <w:b/>
                <w:bCs/>
                <w:color w:val="000000" w:themeColor="text1"/>
                <w:sz w:val="22"/>
                <w:szCs w:val="22"/>
              </w:rPr>
            </w:pPr>
            <w:r w:rsidRPr="009B12FF">
              <w:rPr>
                <w:rFonts w:ascii="Arial" w:hAnsi="Arial" w:cs="Arial"/>
                <w:b/>
                <w:bCs/>
                <w:color w:val="000000" w:themeColor="text1"/>
                <w:sz w:val="22"/>
                <w:szCs w:val="22"/>
              </w:rPr>
              <w:t>13</w:t>
            </w:r>
          </w:p>
        </w:tc>
        <w:tc>
          <w:tcPr>
            <w:tcW w:w="2456" w:type="dxa"/>
            <w:tcBorders>
              <w:top w:val="single" w:sz="4" w:space="0" w:color="auto"/>
              <w:left w:val="nil"/>
              <w:bottom w:val="single" w:sz="4" w:space="0" w:color="auto"/>
              <w:right w:val="single" w:sz="4" w:space="0" w:color="auto"/>
            </w:tcBorders>
            <w:noWrap/>
            <w:vAlign w:val="bottom"/>
          </w:tcPr>
          <w:p w:rsidR="00384646" w:rsidRPr="009B12FF" w:rsidRDefault="0004631C" w:rsidP="009A7603">
            <w:pPr>
              <w:jc w:val="center"/>
              <w:rPr>
                <w:rFonts w:ascii="Arial" w:hAnsi="Arial" w:cs="Arial"/>
                <w:b/>
                <w:bCs/>
                <w:color w:val="000000" w:themeColor="text1"/>
                <w:sz w:val="22"/>
                <w:szCs w:val="22"/>
              </w:rPr>
            </w:pPr>
            <w:r w:rsidRPr="009B12FF">
              <w:rPr>
                <w:rFonts w:ascii="Arial" w:hAnsi="Arial" w:cs="Arial"/>
                <w:b/>
                <w:bCs/>
                <w:color w:val="000000" w:themeColor="text1"/>
                <w:sz w:val="22"/>
                <w:szCs w:val="22"/>
              </w:rPr>
              <w:t>13</w:t>
            </w:r>
          </w:p>
        </w:tc>
      </w:tr>
    </w:tbl>
    <w:bookmarkEnd w:id="26"/>
    <w:p w:rsidR="006E0FCE" w:rsidRPr="009B12FF" w:rsidRDefault="00B622BC" w:rsidP="009A7603">
      <w:pPr>
        <w:rPr>
          <w:rFonts w:ascii="Arial" w:hAnsi="Arial" w:cs="Arial"/>
          <w:b/>
          <w:color w:val="000000" w:themeColor="text1"/>
          <w:sz w:val="14"/>
          <w:szCs w:val="14"/>
        </w:rPr>
      </w:pPr>
      <w:r w:rsidRPr="009B12FF">
        <w:rPr>
          <w:rFonts w:ascii="Arial" w:hAnsi="Arial" w:cs="Arial"/>
          <w:b/>
          <w:color w:val="000000" w:themeColor="text1"/>
          <w:sz w:val="14"/>
          <w:szCs w:val="14"/>
        </w:rPr>
        <w:t xml:space="preserve">     </w:t>
      </w:r>
      <w:r w:rsidR="006E0FCE" w:rsidRPr="009B12FF">
        <w:rPr>
          <w:rFonts w:ascii="Arial" w:hAnsi="Arial" w:cs="Arial"/>
          <w:b/>
          <w:color w:val="000000" w:themeColor="text1"/>
          <w:sz w:val="14"/>
          <w:szCs w:val="14"/>
        </w:rPr>
        <w:t>Fuente de Información: Anexo 1</w:t>
      </w:r>
      <w:r w:rsidR="00A655CB" w:rsidRPr="009B12FF">
        <w:rPr>
          <w:rFonts w:ascii="Arial" w:hAnsi="Arial" w:cs="Arial"/>
          <w:b/>
          <w:color w:val="000000" w:themeColor="text1"/>
          <w:sz w:val="14"/>
          <w:szCs w:val="14"/>
        </w:rPr>
        <w:t xml:space="preserve"> (MRP por programas)</w:t>
      </w:r>
    </w:p>
    <w:p w:rsidR="00F91D48" w:rsidRPr="009B12FF" w:rsidRDefault="00F91D48" w:rsidP="009A7603">
      <w:pPr>
        <w:rPr>
          <w:rFonts w:ascii="Arial" w:hAnsi="Arial" w:cs="Arial"/>
          <w:color w:val="000000" w:themeColor="text1"/>
          <w:sz w:val="22"/>
          <w:szCs w:val="22"/>
        </w:rPr>
      </w:pPr>
    </w:p>
    <w:p w:rsidR="00326994" w:rsidRPr="009B12FF" w:rsidRDefault="002266E8" w:rsidP="009A7603">
      <w:pPr>
        <w:rPr>
          <w:rFonts w:ascii="Arial" w:hAnsi="Arial" w:cs="Arial"/>
          <w:b/>
          <w:color w:val="000000" w:themeColor="text1"/>
          <w:sz w:val="22"/>
          <w:szCs w:val="22"/>
        </w:rPr>
      </w:pPr>
      <w:r w:rsidRPr="009B12FF">
        <w:rPr>
          <w:rFonts w:ascii="Arial" w:hAnsi="Arial" w:cs="Arial"/>
          <w:b/>
          <w:color w:val="000000" w:themeColor="text1"/>
          <w:sz w:val="22"/>
          <w:szCs w:val="22"/>
        </w:rPr>
        <w:t xml:space="preserve">2. </w:t>
      </w:r>
      <w:r w:rsidR="008F5E44" w:rsidRPr="009B12FF">
        <w:rPr>
          <w:rFonts w:ascii="Arial" w:hAnsi="Arial" w:cs="Arial"/>
          <w:b/>
          <w:color w:val="000000" w:themeColor="text1"/>
          <w:sz w:val="22"/>
          <w:szCs w:val="22"/>
        </w:rPr>
        <w:t>A</w:t>
      </w:r>
      <w:r w:rsidR="00326994" w:rsidRPr="009B12FF">
        <w:rPr>
          <w:rFonts w:ascii="Arial" w:hAnsi="Arial" w:cs="Arial"/>
          <w:b/>
          <w:color w:val="000000" w:themeColor="text1"/>
          <w:sz w:val="22"/>
          <w:szCs w:val="22"/>
        </w:rPr>
        <w:t xml:space="preserve">nálisis </w:t>
      </w:r>
      <w:r w:rsidR="008F5E44" w:rsidRPr="009B12FF">
        <w:rPr>
          <w:rFonts w:ascii="Arial" w:hAnsi="Arial" w:cs="Arial"/>
          <w:b/>
          <w:color w:val="000000" w:themeColor="text1"/>
          <w:sz w:val="22"/>
          <w:szCs w:val="22"/>
        </w:rPr>
        <w:t>Ge</w:t>
      </w:r>
      <w:r w:rsidR="007F085D" w:rsidRPr="009B12FF">
        <w:rPr>
          <w:rFonts w:ascii="Arial" w:hAnsi="Arial" w:cs="Arial"/>
          <w:b/>
          <w:color w:val="000000" w:themeColor="text1"/>
          <w:sz w:val="22"/>
          <w:szCs w:val="22"/>
        </w:rPr>
        <w:t>neral</w:t>
      </w:r>
      <w:r w:rsidR="00326994" w:rsidRPr="009B12FF">
        <w:rPr>
          <w:rFonts w:ascii="Arial" w:hAnsi="Arial" w:cs="Arial"/>
          <w:b/>
          <w:color w:val="000000" w:themeColor="text1"/>
          <w:sz w:val="22"/>
          <w:szCs w:val="22"/>
        </w:rPr>
        <w:t xml:space="preserve"> </w:t>
      </w:r>
    </w:p>
    <w:p w:rsidR="00D052BF" w:rsidRPr="009B12FF" w:rsidRDefault="0004631C" w:rsidP="00F52F35">
      <w:pPr>
        <w:pStyle w:val="Ttulo1"/>
        <w:numPr>
          <w:ilvl w:val="0"/>
          <w:numId w:val="9"/>
        </w:numPr>
        <w:tabs>
          <w:tab w:val="clear" w:pos="1080"/>
          <w:tab w:val="num" w:pos="567"/>
        </w:tabs>
        <w:ind w:hanging="1080"/>
        <w:jc w:val="both"/>
        <w:rPr>
          <w:color w:val="000000" w:themeColor="text1"/>
          <w:sz w:val="22"/>
          <w:szCs w:val="22"/>
        </w:rPr>
      </w:pPr>
      <w:bookmarkStart w:id="27" w:name="_Toc376955563"/>
      <w:r w:rsidRPr="009B12FF">
        <w:rPr>
          <w:color w:val="000000" w:themeColor="text1"/>
          <w:sz w:val="22"/>
          <w:szCs w:val="22"/>
        </w:rPr>
        <w:t>Comportamiento de la ejecución presupuestaria por programas y a nivel total por el periodo 201</w:t>
      </w:r>
      <w:bookmarkEnd w:id="27"/>
      <w:r w:rsidR="00ED0BD7" w:rsidRPr="009B12FF">
        <w:rPr>
          <w:color w:val="000000" w:themeColor="text1"/>
          <w:sz w:val="22"/>
          <w:szCs w:val="22"/>
        </w:rPr>
        <w:t>3</w:t>
      </w:r>
      <w:r w:rsidRPr="009B12FF">
        <w:rPr>
          <w:color w:val="000000" w:themeColor="text1"/>
          <w:sz w:val="22"/>
          <w:szCs w:val="22"/>
        </w:rPr>
        <w:t xml:space="preserve"> </w:t>
      </w:r>
    </w:p>
    <w:p w:rsidR="00255472" w:rsidRPr="009B12FF" w:rsidRDefault="00255472" w:rsidP="009A7603">
      <w:pPr>
        <w:rPr>
          <w:rFonts w:ascii="Arial" w:hAnsi="Arial" w:cs="Arial"/>
          <w:color w:val="000000" w:themeColor="text1"/>
          <w:sz w:val="22"/>
          <w:szCs w:val="22"/>
        </w:rPr>
      </w:pPr>
    </w:p>
    <w:p w:rsidR="00CA013E" w:rsidRPr="009B12FF" w:rsidRDefault="00CA013E" w:rsidP="00CA013E">
      <w:pPr>
        <w:jc w:val="center"/>
        <w:rPr>
          <w:rFonts w:ascii="Arial" w:eastAsia="Times New Roman" w:hAnsi="Arial" w:cs="Arial"/>
          <w:b/>
          <w:color w:val="000000" w:themeColor="text1"/>
          <w:sz w:val="22"/>
          <w:szCs w:val="22"/>
          <w:lang w:val="es-CR"/>
        </w:rPr>
      </w:pPr>
      <w:r w:rsidRPr="009B12FF">
        <w:rPr>
          <w:rFonts w:ascii="Arial" w:eastAsia="Times New Roman" w:hAnsi="Arial" w:cs="Arial"/>
          <w:b/>
          <w:color w:val="000000" w:themeColor="text1"/>
          <w:sz w:val="22"/>
          <w:szCs w:val="22"/>
          <w:lang w:val="es-CR"/>
        </w:rPr>
        <w:t>Presupuesto y Gasto ejecutado por programa</w:t>
      </w:r>
    </w:p>
    <w:p w:rsidR="00CA013E" w:rsidRDefault="00CA013E" w:rsidP="006F11C3">
      <w:pPr>
        <w:jc w:val="center"/>
        <w:rPr>
          <w:rFonts w:ascii="Arial" w:eastAsia="Times New Roman" w:hAnsi="Arial" w:cs="Arial"/>
          <w:b/>
          <w:color w:val="000000" w:themeColor="text1"/>
          <w:sz w:val="22"/>
          <w:szCs w:val="22"/>
          <w:lang w:val="es-CR"/>
        </w:rPr>
      </w:pPr>
      <w:r w:rsidRPr="009B12FF">
        <w:rPr>
          <w:rFonts w:ascii="Arial" w:eastAsia="Times New Roman" w:hAnsi="Arial" w:cs="Arial"/>
          <w:b/>
          <w:color w:val="000000" w:themeColor="text1"/>
          <w:sz w:val="22"/>
          <w:szCs w:val="22"/>
          <w:lang w:val="es-CR"/>
        </w:rPr>
        <w:t xml:space="preserve"> (Millones de colones y % de ejecución)</w:t>
      </w:r>
    </w:p>
    <w:tbl>
      <w:tblPr>
        <w:tblW w:w="89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1868"/>
        <w:gridCol w:w="2174"/>
        <w:gridCol w:w="1542"/>
        <w:gridCol w:w="62"/>
        <w:gridCol w:w="1226"/>
      </w:tblGrid>
      <w:tr w:rsidR="00E27C72" w:rsidRPr="009B12FF" w:rsidTr="00610553">
        <w:trPr>
          <w:trHeight w:val="830"/>
          <w:jc w:val="center"/>
        </w:trPr>
        <w:tc>
          <w:tcPr>
            <w:tcW w:w="2228" w:type="dxa"/>
            <w:shd w:val="clear" w:color="auto" w:fill="365F91" w:themeFill="accent1" w:themeFillShade="BF"/>
          </w:tcPr>
          <w:p w:rsidR="00CA013E" w:rsidRPr="009B12FF" w:rsidRDefault="00CA013E" w:rsidP="0080407A">
            <w:pPr>
              <w:jc w:val="center"/>
              <w:rPr>
                <w:rFonts w:ascii="Arial" w:eastAsia="Times New Roman" w:hAnsi="Arial" w:cs="Arial"/>
                <w:b/>
                <w:color w:val="F2F2F2" w:themeColor="background1" w:themeShade="F2"/>
                <w:sz w:val="22"/>
                <w:szCs w:val="22"/>
                <w:lang w:val="es-CR"/>
              </w:rPr>
            </w:pPr>
          </w:p>
          <w:p w:rsidR="00CA013E" w:rsidRPr="009B12FF" w:rsidRDefault="00CA013E" w:rsidP="0080407A">
            <w:pPr>
              <w:jc w:val="center"/>
              <w:rPr>
                <w:rFonts w:ascii="Arial" w:eastAsia="Times New Roman" w:hAnsi="Arial" w:cs="Arial"/>
                <w:b/>
                <w:color w:val="F2F2F2" w:themeColor="background1" w:themeShade="F2"/>
                <w:sz w:val="22"/>
                <w:szCs w:val="22"/>
                <w:lang w:val="es-CR"/>
              </w:rPr>
            </w:pPr>
            <w:r w:rsidRPr="009B12FF">
              <w:rPr>
                <w:rFonts w:ascii="Arial" w:eastAsia="Times New Roman" w:hAnsi="Arial" w:cs="Arial"/>
                <w:b/>
                <w:color w:val="F2F2F2" w:themeColor="background1" w:themeShade="F2"/>
                <w:sz w:val="22"/>
                <w:szCs w:val="22"/>
                <w:lang w:val="es-CR"/>
              </w:rPr>
              <w:t>Programa</w:t>
            </w:r>
          </w:p>
        </w:tc>
        <w:tc>
          <w:tcPr>
            <w:tcW w:w="1868" w:type="dxa"/>
            <w:shd w:val="clear" w:color="auto" w:fill="365F91" w:themeFill="accent1" w:themeFillShade="BF"/>
          </w:tcPr>
          <w:p w:rsidR="00CA013E" w:rsidRPr="009B12FF" w:rsidRDefault="00CA013E" w:rsidP="0080407A">
            <w:pPr>
              <w:jc w:val="center"/>
              <w:rPr>
                <w:rFonts w:ascii="Arial" w:eastAsia="Times New Roman" w:hAnsi="Arial" w:cs="Arial"/>
                <w:b/>
                <w:color w:val="F2F2F2" w:themeColor="background1" w:themeShade="F2"/>
                <w:sz w:val="22"/>
                <w:szCs w:val="22"/>
                <w:lang w:val="es-CR"/>
              </w:rPr>
            </w:pPr>
          </w:p>
          <w:p w:rsidR="00CA013E" w:rsidRPr="009B12FF" w:rsidRDefault="00CA013E" w:rsidP="0080407A">
            <w:pPr>
              <w:jc w:val="center"/>
              <w:rPr>
                <w:rFonts w:ascii="Arial" w:eastAsia="Times New Roman" w:hAnsi="Arial" w:cs="Arial"/>
                <w:b/>
                <w:color w:val="F2F2F2" w:themeColor="background1" w:themeShade="F2"/>
                <w:sz w:val="22"/>
                <w:szCs w:val="22"/>
                <w:lang w:val="es-CR"/>
              </w:rPr>
            </w:pPr>
            <w:r w:rsidRPr="009B12FF">
              <w:rPr>
                <w:rFonts w:ascii="Arial" w:eastAsia="Times New Roman" w:hAnsi="Arial" w:cs="Arial"/>
                <w:b/>
                <w:color w:val="F2F2F2" w:themeColor="background1" w:themeShade="F2"/>
                <w:sz w:val="22"/>
                <w:szCs w:val="22"/>
                <w:lang w:val="es-CR"/>
              </w:rPr>
              <w:t xml:space="preserve">Presupuesto </w:t>
            </w:r>
          </w:p>
          <w:p w:rsidR="00CA013E" w:rsidRPr="009B12FF" w:rsidRDefault="00CA013E" w:rsidP="0080407A">
            <w:pPr>
              <w:jc w:val="center"/>
              <w:rPr>
                <w:rFonts w:ascii="Arial" w:eastAsia="Times New Roman" w:hAnsi="Arial" w:cs="Arial"/>
                <w:b/>
                <w:color w:val="F2F2F2" w:themeColor="background1" w:themeShade="F2"/>
                <w:sz w:val="22"/>
                <w:szCs w:val="22"/>
                <w:lang w:val="es-CR"/>
              </w:rPr>
            </w:pPr>
            <w:r w:rsidRPr="009B12FF">
              <w:rPr>
                <w:rFonts w:ascii="Arial" w:eastAsia="Times New Roman" w:hAnsi="Arial" w:cs="Arial"/>
                <w:b/>
                <w:color w:val="F2F2F2" w:themeColor="background1" w:themeShade="F2"/>
                <w:sz w:val="22"/>
                <w:szCs w:val="22"/>
                <w:lang w:val="es-CR"/>
              </w:rPr>
              <w:t>(a)</w:t>
            </w:r>
          </w:p>
        </w:tc>
        <w:tc>
          <w:tcPr>
            <w:tcW w:w="2034" w:type="dxa"/>
            <w:shd w:val="clear" w:color="auto" w:fill="365F91" w:themeFill="accent1" w:themeFillShade="BF"/>
          </w:tcPr>
          <w:p w:rsidR="008767B3" w:rsidRPr="009B12FF" w:rsidRDefault="008767B3" w:rsidP="0080407A">
            <w:pPr>
              <w:jc w:val="center"/>
              <w:rPr>
                <w:rFonts w:ascii="Arial" w:eastAsia="Times New Roman" w:hAnsi="Arial" w:cs="Arial"/>
                <w:b/>
                <w:color w:val="F2F2F2" w:themeColor="background1" w:themeShade="F2"/>
                <w:sz w:val="22"/>
                <w:szCs w:val="22"/>
                <w:lang w:val="es-CR"/>
              </w:rPr>
            </w:pPr>
          </w:p>
          <w:p w:rsidR="00CA013E" w:rsidRPr="009B12FF" w:rsidRDefault="00CA013E" w:rsidP="0080407A">
            <w:pPr>
              <w:jc w:val="center"/>
              <w:rPr>
                <w:rFonts w:ascii="Arial" w:eastAsia="Times New Roman" w:hAnsi="Arial" w:cs="Arial"/>
                <w:b/>
                <w:color w:val="F2F2F2" w:themeColor="background1" w:themeShade="F2"/>
                <w:sz w:val="22"/>
                <w:szCs w:val="22"/>
                <w:lang w:val="es-CR"/>
              </w:rPr>
            </w:pPr>
            <w:r w:rsidRPr="009B12FF">
              <w:rPr>
                <w:rFonts w:ascii="Arial" w:eastAsia="Times New Roman" w:hAnsi="Arial" w:cs="Arial"/>
                <w:b/>
                <w:color w:val="F2F2F2" w:themeColor="background1" w:themeShade="F2"/>
                <w:sz w:val="22"/>
                <w:szCs w:val="22"/>
                <w:lang w:val="es-CR"/>
              </w:rPr>
              <w:t xml:space="preserve">Gasto ejecutado </w:t>
            </w:r>
          </w:p>
          <w:p w:rsidR="00CA013E" w:rsidRPr="009B12FF" w:rsidRDefault="00CA013E" w:rsidP="0080407A">
            <w:pPr>
              <w:jc w:val="center"/>
              <w:rPr>
                <w:rFonts w:ascii="Arial" w:eastAsia="Times New Roman" w:hAnsi="Arial" w:cs="Arial"/>
                <w:b/>
                <w:color w:val="F2F2F2" w:themeColor="background1" w:themeShade="F2"/>
                <w:sz w:val="22"/>
                <w:szCs w:val="22"/>
                <w:lang w:val="es-CR"/>
              </w:rPr>
            </w:pPr>
            <w:r w:rsidRPr="009B12FF">
              <w:rPr>
                <w:rFonts w:ascii="Arial" w:eastAsia="Times New Roman" w:hAnsi="Arial" w:cs="Arial"/>
                <w:b/>
                <w:color w:val="F2F2F2" w:themeColor="background1" w:themeShade="F2"/>
                <w:sz w:val="22"/>
                <w:szCs w:val="22"/>
                <w:lang w:val="es-CR"/>
              </w:rPr>
              <w:t>(b)</w:t>
            </w:r>
          </w:p>
        </w:tc>
        <w:tc>
          <w:tcPr>
            <w:tcW w:w="1567" w:type="dxa"/>
            <w:shd w:val="clear" w:color="auto" w:fill="365F91" w:themeFill="accent1" w:themeFillShade="BF"/>
          </w:tcPr>
          <w:p w:rsidR="00CA013E" w:rsidRPr="009B12FF" w:rsidRDefault="00CA013E" w:rsidP="0080407A">
            <w:pPr>
              <w:jc w:val="center"/>
              <w:rPr>
                <w:rFonts w:ascii="Arial" w:eastAsia="Times New Roman" w:hAnsi="Arial" w:cs="Arial"/>
                <w:b/>
                <w:color w:val="F2F2F2" w:themeColor="background1" w:themeShade="F2"/>
                <w:sz w:val="22"/>
                <w:szCs w:val="22"/>
                <w:lang w:val="es-CR"/>
              </w:rPr>
            </w:pPr>
            <w:r w:rsidRPr="009B12FF">
              <w:rPr>
                <w:rFonts w:ascii="Arial" w:eastAsia="Times New Roman" w:hAnsi="Arial" w:cs="Arial"/>
                <w:b/>
                <w:color w:val="F2F2F2" w:themeColor="background1" w:themeShade="F2"/>
                <w:sz w:val="22"/>
                <w:szCs w:val="22"/>
                <w:lang w:val="es-CR"/>
              </w:rPr>
              <w:t xml:space="preserve">% de ejecución  </w:t>
            </w:r>
          </w:p>
          <w:p w:rsidR="00CA013E" w:rsidRPr="009B12FF" w:rsidRDefault="00CA013E" w:rsidP="0080407A">
            <w:pPr>
              <w:jc w:val="center"/>
              <w:rPr>
                <w:rFonts w:ascii="Arial" w:eastAsia="Times New Roman" w:hAnsi="Arial" w:cs="Arial"/>
                <w:b/>
                <w:color w:val="F2F2F2" w:themeColor="background1" w:themeShade="F2"/>
                <w:sz w:val="22"/>
                <w:szCs w:val="22"/>
                <w:lang w:val="es-CR"/>
              </w:rPr>
            </w:pPr>
            <w:r w:rsidRPr="009B12FF">
              <w:rPr>
                <w:rFonts w:ascii="Arial" w:eastAsia="Times New Roman" w:hAnsi="Arial" w:cs="Arial"/>
                <w:b/>
                <w:color w:val="F2F2F2" w:themeColor="background1" w:themeShade="F2"/>
                <w:sz w:val="22"/>
                <w:szCs w:val="22"/>
                <w:lang w:val="es-CR"/>
              </w:rPr>
              <w:t>31-12-1</w:t>
            </w:r>
            <w:r w:rsidR="00091EEC" w:rsidRPr="009B12FF">
              <w:rPr>
                <w:rFonts w:ascii="Arial" w:eastAsia="Times New Roman" w:hAnsi="Arial" w:cs="Arial"/>
                <w:b/>
                <w:color w:val="F2F2F2" w:themeColor="background1" w:themeShade="F2"/>
                <w:sz w:val="22"/>
                <w:szCs w:val="22"/>
                <w:lang w:val="es-CR"/>
              </w:rPr>
              <w:t>3</w:t>
            </w:r>
          </w:p>
          <w:p w:rsidR="00CA013E" w:rsidRPr="009B12FF" w:rsidRDefault="00CA013E" w:rsidP="0080407A">
            <w:pPr>
              <w:jc w:val="center"/>
              <w:rPr>
                <w:rFonts w:ascii="Arial" w:eastAsia="Times New Roman" w:hAnsi="Arial" w:cs="Arial"/>
                <w:b/>
                <w:color w:val="F2F2F2" w:themeColor="background1" w:themeShade="F2"/>
                <w:sz w:val="22"/>
                <w:szCs w:val="22"/>
                <w:lang w:val="es-CR"/>
              </w:rPr>
            </w:pPr>
            <w:r w:rsidRPr="009B12FF">
              <w:rPr>
                <w:rFonts w:ascii="Arial" w:eastAsia="Times New Roman" w:hAnsi="Arial" w:cs="Arial"/>
                <w:b/>
                <w:color w:val="F2F2F2" w:themeColor="background1" w:themeShade="F2"/>
                <w:sz w:val="22"/>
                <w:szCs w:val="22"/>
                <w:lang w:val="es-CR"/>
              </w:rPr>
              <w:t>((b)/(a))*100</w:t>
            </w:r>
          </w:p>
        </w:tc>
        <w:tc>
          <w:tcPr>
            <w:tcW w:w="1301" w:type="dxa"/>
            <w:gridSpan w:val="2"/>
            <w:shd w:val="clear" w:color="auto" w:fill="365F91" w:themeFill="accent1" w:themeFillShade="BF"/>
          </w:tcPr>
          <w:p w:rsidR="00CA013E" w:rsidRPr="009B12FF" w:rsidRDefault="00CA013E" w:rsidP="0080407A">
            <w:pPr>
              <w:jc w:val="center"/>
              <w:rPr>
                <w:rFonts w:ascii="Arial" w:eastAsia="Times New Roman" w:hAnsi="Arial" w:cs="Arial"/>
                <w:b/>
                <w:color w:val="F2F2F2" w:themeColor="background1" w:themeShade="F2"/>
                <w:sz w:val="22"/>
                <w:szCs w:val="22"/>
                <w:lang w:val="es-CR"/>
              </w:rPr>
            </w:pPr>
            <w:r w:rsidRPr="009B12FF">
              <w:rPr>
                <w:rFonts w:ascii="Arial" w:eastAsia="Times New Roman" w:hAnsi="Arial" w:cs="Arial"/>
                <w:b/>
                <w:color w:val="F2F2F2" w:themeColor="background1" w:themeShade="F2"/>
                <w:sz w:val="22"/>
                <w:szCs w:val="22"/>
                <w:lang w:val="es-CR"/>
              </w:rPr>
              <w:t xml:space="preserve">% de ejecución </w:t>
            </w:r>
          </w:p>
          <w:p w:rsidR="00CA013E" w:rsidRPr="009B12FF" w:rsidRDefault="00091EEC" w:rsidP="0080407A">
            <w:pPr>
              <w:jc w:val="center"/>
              <w:rPr>
                <w:rFonts w:ascii="Arial" w:eastAsia="Times New Roman" w:hAnsi="Arial" w:cs="Arial"/>
                <w:b/>
                <w:color w:val="F2F2F2" w:themeColor="background1" w:themeShade="F2"/>
                <w:sz w:val="22"/>
                <w:szCs w:val="22"/>
                <w:lang w:val="es-CR"/>
              </w:rPr>
            </w:pPr>
            <w:r w:rsidRPr="009B12FF">
              <w:rPr>
                <w:rFonts w:ascii="Arial" w:eastAsia="Times New Roman" w:hAnsi="Arial" w:cs="Arial"/>
                <w:b/>
                <w:color w:val="F2F2F2" w:themeColor="background1" w:themeShade="F2"/>
                <w:sz w:val="22"/>
                <w:szCs w:val="22"/>
                <w:lang w:val="es-CR"/>
              </w:rPr>
              <w:t xml:space="preserve"> 31-12-</w:t>
            </w:r>
            <w:r w:rsidR="00CA013E" w:rsidRPr="009B12FF">
              <w:rPr>
                <w:rFonts w:ascii="Arial" w:eastAsia="Times New Roman" w:hAnsi="Arial" w:cs="Arial"/>
                <w:b/>
                <w:color w:val="F2F2F2" w:themeColor="background1" w:themeShade="F2"/>
                <w:sz w:val="22"/>
                <w:szCs w:val="22"/>
                <w:lang w:val="es-CR"/>
              </w:rPr>
              <w:t>1</w:t>
            </w:r>
            <w:r w:rsidRPr="009B12FF">
              <w:rPr>
                <w:rFonts w:ascii="Arial" w:eastAsia="Times New Roman" w:hAnsi="Arial" w:cs="Arial"/>
                <w:b/>
                <w:color w:val="F2F2F2" w:themeColor="background1" w:themeShade="F2"/>
                <w:sz w:val="22"/>
                <w:szCs w:val="22"/>
                <w:lang w:val="es-CR"/>
              </w:rPr>
              <w:t>2</w:t>
            </w:r>
          </w:p>
          <w:p w:rsidR="00CA013E" w:rsidRPr="009B12FF" w:rsidRDefault="00CA013E" w:rsidP="0080407A">
            <w:pPr>
              <w:jc w:val="center"/>
              <w:rPr>
                <w:rFonts w:ascii="Arial" w:eastAsia="Times New Roman" w:hAnsi="Arial" w:cs="Arial"/>
                <w:b/>
                <w:color w:val="F2F2F2" w:themeColor="background1" w:themeShade="F2"/>
                <w:sz w:val="22"/>
                <w:szCs w:val="22"/>
                <w:lang w:val="es-CR"/>
              </w:rPr>
            </w:pPr>
          </w:p>
        </w:tc>
      </w:tr>
      <w:tr w:rsidR="00E27C72" w:rsidRPr="009B12FF" w:rsidTr="00610553">
        <w:trPr>
          <w:trHeight w:val="414"/>
          <w:jc w:val="center"/>
        </w:trPr>
        <w:tc>
          <w:tcPr>
            <w:tcW w:w="2228" w:type="dxa"/>
          </w:tcPr>
          <w:p w:rsidR="00CA013E" w:rsidRPr="009B12FF" w:rsidRDefault="00CA013E" w:rsidP="0080407A">
            <w:pPr>
              <w:jc w:val="center"/>
              <w:rPr>
                <w:rFonts w:ascii="Arial" w:eastAsia="Times New Roman" w:hAnsi="Arial" w:cs="Arial"/>
                <w:color w:val="000000" w:themeColor="text1"/>
                <w:sz w:val="22"/>
                <w:szCs w:val="22"/>
                <w:lang w:val="es-CR"/>
              </w:rPr>
            </w:pPr>
            <w:r w:rsidRPr="009B12FF">
              <w:rPr>
                <w:rFonts w:ascii="Arial" w:eastAsia="Times New Roman" w:hAnsi="Arial" w:cs="Arial"/>
                <w:color w:val="000000" w:themeColor="text1"/>
                <w:sz w:val="22"/>
                <w:szCs w:val="22"/>
                <w:lang w:val="es-CR"/>
              </w:rPr>
              <w:t>Actividades Centrales</w:t>
            </w:r>
          </w:p>
        </w:tc>
        <w:tc>
          <w:tcPr>
            <w:tcW w:w="1868" w:type="dxa"/>
            <w:vAlign w:val="bottom"/>
          </w:tcPr>
          <w:p w:rsidR="00CA013E" w:rsidRPr="009B12FF" w:rsidRDefault="00CB7142" w:rsidP="00CB7142">
            <w:pPr>
              <w:jc w:val="right"/>
              <w:rPr>
                <w:rFonts w:ascii="Arial" w:hAnsi="Arial" w:cs="Arial"/>
                <w:color w:val="000000" w:themeColor="text1"/>
                <w:sz w:val="22"/>
                <w:szCs w:val="22"/>
              </w:rPr>
            </w:pPr>
            <w:r w:rsidRPr="009B12FF">
              <w:rPr>
                <w:rFonts w:ascii="Arial" w:hAnsi="Arial" w:cs="Arial"/>
                <w:color w:val="000000" w:themeColor="text1"/>
                <w:sz w:val="22"/>
                <w:szCs w:val="22"/>
              </w:rPr>
              <w:t>20.014.08</w:t>
            </w:r>
            <w:r w:rsidR="00E27C72" w:rsidRPr="009B12FF">
              <w:rPr>
                <w:rFonts w:ascii="Arial" w:hAnsi="Arial" w:cs="Arial"/>
                <w:color w:val="000000" w:themeColor="text1"/>
                <w:sz w:val="22"/>
                <w:szCs w:val="22"/>
              </w:rPr>
              <w:t>7.000</w:t>
            </w:r>
          </w:p>
        </w:tc>
        <w:tc>
          <w:tcPr>
            <w:tcW w:w="2034" w:type="dxa"/>
            <w:vAlign w:val="bottom"/>
          </w:tcPr>
          <w:p w:rsidR="00CA013E" w:rsidRPr="009B12FF" w:rsidRDefault="005109D6" w:rsidP="005109D6">
            <w:pPr>
              <w:jc w:val="right"/>
              <w:rPr>
                <w:rFonts w:ascii="Arial" w:hAnsi="Arial" w:cs="Arial"/>
                <w:color w:val="000000" w:themeColor="text1"/>
                <w:sz w:val="22"/>
                <w:szCs w:val="22"/>
              </w:rPr>
            </w:pPr>
            <w:r w:rsidRPr="009B12FF">
              <w:rPr>
                <w:rFonts w:ascii="Arial" w:hAnsi="Arial" w:cs="Arial"/>
                <w:color w:val="000000" w:themeColor="text1"/>
                <w:sz w:val="22"/>
                <w:szCs w:val="22"/>
              </w:rPr>
              <w:t>10.542</w:t>
            </w:r>
            <w:r w:rsidR="00E27C72" w:rsidRPr="009B12FF">
              <w:rPr>
                <w:rFonts w:ascii="Arial" w:hAnsi="Arial" w:cs="Arial"/>
                <w:color w:val="000000" w:themeColor="text1"/>
                <w:sz w:val="22"/>
                <w:szCs w:val="22"/>
              </w:rPr>
              <w:t>.</w:t>
            </w:r>
            <w:r w:rsidRPr="009B12FF">
              <w:rPr>
                <w:rFonts w:ascii="Arial" w:hAnsi="Arial" w:cs="Arial"/>
                <w:color w:val="000000" w:themeColor="text1"/>
                <w:sz w:val="22"/>
                <w:szCs w:val="22"/>
              </w:rPr>
              <w:t>428</w:t>
            </w:r>
            <w:r w:rsidR="00E27C72" w:rsidRPr="009B12FF">
              <w:rPr>
                <w:rFonts w:ascii="Arial" w:hAnsi="Arial" w:cs="Arial"/>
                <w:color w:val="000000" w:themeColor="text1"/>
                <w:sz w:val="22"/>
                <w:szCs w:val="22"/>
              </w:rPr>
              <w:t>.</w:t>
            </w:r>
            <w:r w:rsidRPr="009B12FF">
              <w:rPr>
                <w:rFonts w:ascii="Arial" w:hAnsi="Arial" w:cs="Arial"/>
                <w:color w:val="000000" w:themeColor="text1"/>
                <w:sz w:val="22"/>
                <w:szCs w:val="22"/>
              </w:rPr>
              <w:t>008</w:t>
            </w:r>
            <w:r w:rsidR="00E27C72" w:rsidRPr="009B12FF">
              <w:rPr>
                <w:rFonts w:ascii="Arial" w:hAnsi="Arial" w:cs="Arial"/>
                <w:color w:val="000000" w:themeColor="text1"/>
                <w:sz w:val="22"/>
                <w:szCs w:val="22"/>
              </w:rPr>
              <w:t>.</w:t>
            </w:r>
            <w:r w:rsidRPr="009B12FF">
              <w:rPr>
                <w:rFonts w:ascii="Arial" w:hAnsi="Arial" w:cs="Arial"/>
                <w:color w:val="000000" w:themeColor="text1"/>
                <w:sz w:val="22"/>
                <w:szCs w:val="22"/>
              </w:rPr>
              <w:t>70</w:t>
            </w:r>
          </w:p>
        </w:tc>
        <w:tc>
          <w:tcPr>
            <w:tcW w:w="1639" w:type="dxa"/>
            <w:gridSpan w:val="2"/>
            <w:vAlign w:val="bottom"/>
          </w:tcPr>
          <w:p w:rsidR="00CA013E" w:rsidRPr="009B12FF" w:rsidRDefault="008B1FBF" w:rsidP="0080407A">
            <w:pPr>
              <w:jc w:val="center"/>
              <w:rPr>
                <w:rFonts w:ascii="Arial" w:hAnsi="Arial" w:cs="Arial"/>
                <w:color w:val="000000" w:themeColor="text1"/>
                <w:sz w:val="22"/>
                <w:szCs w:val="22"/>
              </w:rPr>
            </w:pPr>
            <w:r w:rsidRPr="009B12FF">
              <w:rPr>
                <w:rFonts w:ascii="Arial" w:hAnsi="Arial" w:cs="Arial"/>
                <w:color w:val="000000" w:themeColor="text1"/>
                <w:sz w:val="22"/>
                <w:szCs w:val="22"/>
              </w:rPr>
              <w:t>52.68</w:t>
            </w:r>
            <w:r w:rsidR="00E27C72" w:rsidRPr="009B12FF">
              <w:rPr>
                <w:rFonts w:ascii="Arial" w:hAnsi="Arial" w:cs="Arial"/>
                <w:color w:val="000000" w:themeColor="text1"/>
                <w:sz w:val="22"/>
                <w:szCs w:val="22"/>
              </w:rPr>
              <w:t>%</w:t>
            </w:r>
          </w:p>
        </w:tc>
        <w:tc>
          <w:tcPr>
            <w:tcW w:w="1229" w:type="dxa"/>
            <w:vAlign w:val="bottom"/>
          </w:tcPr>
          <w:p w:rsidR="00CA013E" w:rsidRPr="009B12FF" w:rsidRDefault="008B1FBF" w:rsidP="0080407A">
            <w:pPr>
              <w:jc w:val="center"/>
              <w:rPr>
                <w:rFonts w:ascii="Arial" w:hAnsi="Arial" w:cs="Arial"/>
                <w:color w:val="000000" w:themeColor="text1"/>
                <w:sz w:val="22"/>
                <w:szCs w:val="22"/>
              </w:rPr>
            </w:pPr>
            <w:r w:rsidRPr="009B12FF">
              <w:rPr>
                <w:rFonts w:ascii="Arial" w:hAnsi="Arial" w:cs="Arial"/>
                <w:color w:val="000000" w:themeColor="text1"/>
                <w:sz w:val="22"/>
                <w:szCs w:val="22"/>
              </w:rPr>
              <w:t>53.95</w:t>
            </w:r>
            <w:r w:rsidR="00E27C72" w:rsidRPr="009B12FF">
              <w:rPr>
                <w:rFonts w:ascii="Arial" w:hAnsi="Arial" w:cs="Arial"/>
                <w:color w:val="000000" w:themeColor="text1"/>
                <w:sz w:val="22"/>
                <w:szCs w:val="22"/>
              </w:rPr>
              <w:t>%</w:t>
            </w:r>
          </w:p>
        </w:tc>
      </w:tr>
      <w:tr w:rsidR="00E27C72" w:rsidRPr="009B12FF" w:rsidTr="00610553">
        <w:trPr>
          <w:trHeight w:val="414"/>
          <w:jc w:val="center"/>
        </w:trPr>
        <w:tc>
          <w:tcPr>
            <w:tcW w:w="2228" w:type="dxa"/>
          </w:tcPr>
          <w:p w:rsidR="00CA013E" w:rsidRPr="009B12FF" w:rsidRDefault="00CA013E" w:rsidP="0080407A">
            <w:pPr>
              <w:rPr>
                <w:rFonts w:ascii="Arial" w:eastAsia="Times New Roman" w:hAnsi="Arial" w:cs="Arial"/>
                <w:color w:val="000000" w:themeColor="text1"/>
                <w:sz w:val="22"/>
                <w:szCs w:val="22"/>
                <w:lang w:val="es-CR"/>
              </w:rPr>
            </w:pPr>
            <w:r w:rsidRPr="009B12FF">
              <w:rPr>
                <w:rFonts w:ascii="Arial" w:eastAsia="Times New Roman" w:hAnsi="Arial" w:cs="Arial"/>
                <w:color w:val="000000" w:themeColor="text1"/>
                <w:sz w:val="22"/>
                <w:szCs w:val="22"/>
                <w:lang w:val="es-CR"/>
              </w:rPr>
              <w:t>Administración de Loterías</w:t>
            </w:r>
          </w:p>
        </w:tc>
        <w:tc>
          <w:tcPr>
            <w:tcW w:w="1868" w:type="dxa"/>
            <w:vAlign w:val="bottom"/>
          </w:tcPr>
          <w:p w:rsidR="00CA013E" w:rsidRPr="009B12FF" w:rsidRDefault="00E27C72" w:rsidP="00CB7142">
            <w:pPr>
              <w:jc w:val="right"/>
              <w:rPr>
                <w:rFonts w:ascii="Arial" w:hAnsi="Arial" w:cs="Arial"/>
                <w:color w:val="000000" w:themeColor="text1"/>
                <w:sz w:val="22"/>
                <w:szCs w:val="22"/>
              </w:rPr>
            </w:pPr>
            <w:r w:rsidRPr="009B12FF">
              <w:rPr>
                <w:rFonts w:ascii="Arial" w:hAnsi="Arial" w:cs="Arial"/>
                <w:color w:val="000000" w:themeColor="text1"/>
                <w:sz w:val="22"/>
                <w:szCs w:val="22"/>
              </w:rPr>
              <w:t>126.</w:t>
            </w:r>
            <w:r w:rsidR="00CB7142" w:rsidRPr="009B12FF">
              <w:rPr>
                <w:rFonts w:ascii="Arial" w:hAnsi="Arial" w:cs="Arial"/>
                <w:color w:val="000000" w:themeColor="text1"/>
                <w:sz w:val="22"/>
                <w:szCs w:val="22"/>
              </w:rPr>
              <w:t>959</w:t>
            </w:r>
            <w:r w:rsidRPr="009B12FF">
              <w:rPr>
                <w:rFonts w:ascii="Arial" w:hAnsi="Arial" w:cs="Arial"/>
                <w:color w:val="000000" w:themeColor="text1"/>
                <w:sz w:val="22"/>
                <w:szCs w:val="22"/>
              </w:rPr>
              <w:t>.</w:t>
            </w:r>
            <w:r w:rsidR="00CB7142" w:rsidRPr="009B12FF">
              <w:rPr>
                <w:rFonts w:ascii="Arial" w:hAnsi="Arial" w:cs="Arial"/>
                <w:color w:val="000000" w:themeColor="text1"/>
                <w:sz w:val="22"/>
                <w:szCs w:val="22"/>
              </w:rPr>
              <w:t>425</w:t>
            </w:r>
            <w:r w:rsidRPr="009B12FF">
              <w:rPr>
                <w:rFonts w:ascii="Arial" w:hAnsi="Arial" w:cs="Arial"/>
                <w:color w:val="000000" w:themeColor="text1"/>
                <w:sz w:val="22"/>
                <w:szCs w:val="22"/>
              </w:rPr>
              <w:t>.000</w:t>
            </w:r>
          </w:p>
        </w:tc>
        <w:tc>
          <w:tcPr>
            <w:tcW w:w="2034" w:type="dxa"/>
            <w:vAlign w:val="bottom"/>
          </w:tcPr>
          <w:p w:rsidR="00CA013E" w:rsidRPr="009B12FF" w:rsidRDefault="00E27C72" w:rsidP="004975B2">
            <w:pPr>
              <w:jc w:val="right"/>
              <w:rPr>
                <w:rFonts w:ascii="Arial" w:hAnsi="Arial" w:cs="Arial"/>
                <w:color w:val="000000" w:themeColor="text1"/>
                <w:sz w:val="22"/>
                <w:szCs w:val="22"/>
              </w:rPr>
            </w:pPr>
            <w:r w:rsidRPr="009B12FF">
              <w:rPr>
                <w:rFonts w:ascii="Arial" w:hAnsi="Arial" w:cs="Arial"/>
                <w:color w:val="000000" w:themeColor="text1"/>
                <w:sz w:val="22"/>
                <w:szCs w:val="22"/>
              </w:rPr>
              <w:t>85.</w:t>
            </w:r>
            <w:r w:rsidR="004975B2" w:rsidRPr="009B12FF">
              <w:rPr>
                <w:rFonts w:ascii="Arial" w:hAnsi="Arial" w:cs="Arial"/>
                <w:color w:val="000000" w:themeColor="text1"/>
                <w:sz w:val="22"/>
                <w:szCs w:val="22"/>
              </w:rPr>
              <w:t>282</w:t>
            </w:r>
            <w:r w:rsidRPr="009B12FF">
              <w:rPr>
                <w:rFonts w:ascii="Arial" w:hAnsi="Arial" w:cs="Arial"/>
                <w:color w:val="000000" w:themeColor="text1"/>
                <w:sz w:val="22"/>
                <w:szCs w:val="22"/>
              </w:rPr>
              <w:t>.</w:t>
            </w:r>
            <w:r w:rsidR="004975B2" w:rsidRPr="009B12FF">
              <w:rPr>
                <w:rFonts w:ascii="Arial" w:hAnsi="Arial" w:cs="Arial"/>
                <w:color w:val="000000" w:themeColor="text1"/>
                <w:sz w:val="22"/>
                <w:szCs w:val="22"/>
              </w:rPr>
              <w:t>652</w:t>
            </w:r>
            <w:r w:rsidRPr="009B12FF">
              <w:rPr>
                <w:rFonts w:ascii="Arial" w:hAnsi="Arial" w:cs="Arial"/>
                <w:color w:val="000000" w:themeColor="text1"/>
                <w:sz w:val="22"/>
                <w:szCs w:val="22"/>
              </w:rPr>
              <w:t>.</w:t>
            </w:r>
            <w:r w:rsidR="004975B2" w:rsidRPr="009B12FF">
              <w:rPr>
                <w:rFonts w:ascii="Arial" w:hAnsi="Arial" w:cs="Arial"/>
                <w:color w:val="000000" w:themeColor="text1"/>
                <w:sz w:val="22"/>
                <w:szCs w:val="22"/>
              </w:rPr>
              <w:t>907</w:t>
            </w:r>
            <w:r w:rsidRPr="009B12FF">
              <w:rPr>
                <w:rFonts w:ascii="Arial" w:hAnsi="Arial" w:cs="Arial"/>
                <w:color w:val="000000" w:themeColor="text1"/>
                <w:sz w:val="22"/>
                <w:szCs w:val="22"/>
              </w:rPr>
              <w:t>.</w:t>
            </w:r>
            <w:r w:rsidR="004975B2" w:rsidRPr="009B12FF">
              <w:rPr>
                <w:rFonts w:ascii="Arial" w:hAnsi="Arial" w:cs="Arial"/>
                <w:color w:val="000000" w:themeColor="text1"/>
                <w:sz w:val="22"/>
                <w:szCs w:val="22"/>
              </w:rPr>
              <w:t>23</w:t>
            </w:r>
          </w:p>
        </w:tc>
        <w:tc>
          <w:tcPr>
            <w:tcW w:w="1639" w:type="dxa"/>
            <w:gridSpan w:val="2"/>
            <w:vAlign w:val="bottom"/>
          </w:tcPr>
          <w:p w:rsidR="00CA013E" w:rsidRPr="009B12FF" w:rsidRDefault="00E27C72" w:rsidP="008B1FBF">
            <w:pPr>
              <w:jc w:val="center"/>
              <w:rPr>
                <w:rFonts w:ascii="Arial" w:hAnsi="Arial" w:cs="Arial"/>
                <w:color w:val="000000" w:themeColor="text1"/>
                <w:sz w:val="22"/>
                <w:szCs w:val="22"/>
              </w:rPr>
            </w:pPr>
            <w:r w:rsidRPr="009B12FF">
              <w:rPr>
                <w:rFonts w:ascii="Arial" w:hAnsi="Arial" w:cs="Arial"/>
                <w:color w:val="000000" w:themeColor="text1"/>
                <w:sz w:val="22"/>
                <w:szCs w:val="22"/>
              </w:rPr>
              <w:t>67.</w:t>
            </w:r>
            <w:r w:rsidR="008B1FBF" w:rsidRPr="009B12FF">
              <w:rPr>
                <w:rFonts w:ascii="Arial" w:hAnsi="Arial" w:cs="Arial"/>
                <w:color w:val="000000" w:themeColor="text1"/>
                <w:sz w:val="22"/>
                <w:szCs w:val="22"/>
              </w:rPr>
              <w:t>17</w:t>
            </w:r>
            <w:r w:rsidRPr="009B12FF">
              <w:rPr>
                <w:rFonts w:ascii="Arial" w:hAnsi="Arial" w:cs="Arial"/>
                <w:color w:val="000000" w:themeColor="text1"/>
                <w:sz w:val="22"/>
                <w:szCs w:val="22"/>
              </w:rPr>
              <w:t>%</w:t>
            </w:r>
          </w:p>
        </w:tc>
        <w:tc>
          <w:tcPr>
            <w:tcW w:w="1229" w:type="dxa"/>
            <w:vAlign w:val="bottom"/>
          </w:tcPr>
          <w:p w:rsidR="00CA013E" w:rsidRPr="009B12FF" w:rsidRDefault="008B1FBF" w:rsidP="0080407A">
            <w:pPr>
              <w:jc w:val="center"/>
              <w:rPr>
                <w:rFonts w:ascii="Arial" w:hAnsi="Arial" w:cs="Arial"/>
                <w:color w:val="000000" w:themeColor="text1"/>
                <w:sz w:val="22"/>
                <w:szCs w:val="22"/>
              </w:rPr>
            </w:pPr>
            <w:r w:rsidRPr="009B12FF">
              <w:rPr>
                <w:rFonts w:ascii="Arial" w:hAnsi="Arial" w:cs="Arial"/>
                <w:color w:val="000000" w:themeColor="text1"/>
                <w:sz w:val="22"/>
                <w:szCs w:val="22"/>
              </w:rPr>
              <w:t>89.9</w:t>
            </w:r>
            <w:r w:rsidR="00E27C72" w:rsidRPr="009B12FF">
              <w:rPr>
                <w:rFonts w:ascii="Arial" w:hAnsi="Arial" w:cs="Arial"/>
                <w:color w:val="000000" w:themeColor="text1"/>
                <w:sz w:val="22"/>
                <w:szCs w:val="22"/>
              </w:rPr>
              <w:t>5%</w:t>
            </w:r>
          </w:p>
        </w:tc>
      </w:tr>
      <w:tr w:rsidR="00E27C72" w:rsidRPr="009B12FF" w:rsidTr="00610553">
        <w:trPr>
          <w:trHeight w:val="625"/>
          <w:jc w:val="center"/>
        </w:trPr>
        <w:tc>
          <w:tcPr>
            <w:tcW w:w="2228" w:type="dxa"/>
          </w:tcPr>
          <w:p w:rsidR="00CA013E" w:rsidRPr="009B12FF" w:rsidRDefault="00CA013E" w:rsidP="0080407A">
            <w:pPr>
              <w:jc w:val="center"/>
              <w:rPr>
                <w:rFonts w:ascii="Arial" w:eastAsia="Times New Roman" w:hAnsi="Arial" w:cs="Arial"/>
                <w:color w:val="000000" w:themeColor="text1"/>
                <w:sz w:val="22"/>
                <w:szCs w:val="22"/>
                <w:lang w:val="es-CR"/>
              </w:rPr>
            </w:pPr>
            <w:r w:rsidRPr="009B12FF">
              <w:rPr>
                <w:rFonts w:ascii="Arial" w:eastAsia="Times New Roman" w:hAnsi="Arial" w:cs="Arial"/>
                <w:color w:val="000000" w:themeColor="text1"/>
                <w:sz w:val="22"/>
                <w:szCs w:val="22"/>
                <w:lang w:val="es-CR"/>
              </w:rPr>
              <w:t>Administración de Campos Santos</w:t>
            </w:r>
          </w:p>
        </w:tc>
        <w:tc>
          <w:tcPr>
            <w:tcW w:w="1868" w:type="dxa"/>
            <w:vAlign w:val="bottom"/>
          </w:tcPr>
          <w:p w:rsidR="00CA013E" w:rsidRPr="009B12FF" w:rsidRDefault="00CB7142" w:rsidP="00CB7142">
            <w:pPr>
              <w:jc w:val="right"/>
              <w:rPr>
                <w:rFonts w:ascii="Arial" w:hAnsi="Arial" w:cs="Arial"/>
                <w:color w:val="000000" w:themeColor="text1"/>
                <w:sz w:val="22"/>
                <w:szCs w:val="22"/>
              </w:rPr>
            </w:pPr>
            <w:r w:rsidRPr="009B12FF">
              <w:rPr>
                <w:rFonts w:ascii="Arial" w:hAnsi="Arial" w:cs="Arial"/>
                <w:color w:val="000000" w:themeColor="text1"/>
                <w:sz w:val="22"/>
                <w:szCs w:val="22"/>
              </w:rPr>
              <w:t>969</w:t>
            </w:r>
            <w:r w:rsidR="00E27C72" w:rsidRPr="009B12FF">
              <w:rPr>
                <w:rFonts w:ascii="Arial" w:hAnsi="Arial" w:cs="Arial"/>
                <w:color w:val="000000" w:themeColor="text1"/>
                <w:sz w:val="22"/>
                <w:szCs w:val="22"/>
              </w:rPr>
              <w:t>.</w:t>
            </w:r>
            <w:r w:rsidRPr="009B12FF">
              <w:rPr>
                <w:rFonts w:ascii="Arial" w:hAnsi="Arial" w:cs="Arial"/>
                <w:color w:val="000000" w:themeColor="text1"/>
                <w:sz w:val="22"/>
                <w:szCs w:val="22"/>
              </w:rPr>
              <w:t>45</w:t>
            </w:r>
            <w:r w:rsidR="00E27C72" w:rsidRPr="009B12FF">
              <w:rPr>
                <w:rFonts w:ascii="Arial" w:hAnsi="Arial" w:cs="Arial"/>
                <w:color w:val="000000" w:themeColor="text1"/>
                <w:sz w:val="22"/>
                <w:szCs w:val="22"/>
              </w:rPr>
              <w:t>9.000</w:t>
            </w:r>
          </w:p>
        </w:tc>
        <w:tc>
          <w:tcPr>
            <w:tcW w:w="2034" w:type="dxa"/>
            <w:vAlign w:val="bottom"/>
          </w:tcPr>
          <w:p w:rsidR="00CA013E" w:rsidRPr="009B12FF" w:rsidRDefault="004975B2" w:rsidP="004975B2">
            <w:pPr>
              <w:jc w:val="right"/>
              <w:rPr>
                <w:rFonts w:ascii="Arial" w:hAnsi="Arial" w:cs="Arial"/>
                <w:color w:val="000000" w:themeColor="text1"/>
                <w:sz w:val="22"/>
                <w:szCs w:val="22"/>
              </w:rPr>
            </w:pPr>
            <w:r w:rsidRPr="009B12FF">
              <w:rPr>
                <w:rFonts w:ascii="Arial" w:hAnsi="Arial" w:cs="Arial"/>
                <w:color w:val="000000" w:themeColor="text1"/>
                <w:sz w:val="22"/>
                <w:szCs w:val="22"/>
              </w:rPr>
              <w:t>765</w:t>
            </w:r>
            <w:r w:rsidR="00E27C72" w:rsidRPr="009B12FF">
              <w:rPr>
                <w:rFonts w:ascii="Arial" w:hAnsi="Arial" w:cs="Arial"/>
                <w:color w:val="000000" w:themeColor="text1"/>
                <w:sz w:val="22"/>
                <w:szCs w:val="22"/>
              </w:rPr>
              <w:t>.</w:t>
            </w:r>
            <w:r w:rsidRPr="009B12FF">
              <w:rPr>
                <w:rFonts w:ascii="Arial" w:hAnsi="Arial" w:cs="Arial"/>
                <w:color w:val="000000" w:themeColor="text1"/>
                <w:sz w:val="22"/>
                <w:szCs w:val="22"/>
              </w:rPr>
              <w:t>493</w:t>
            </w:r>
            <w:r w:rsidR="00E27C72" w:rsidRPr="009B12FF">
              <w:rPr>
                <w:rFonts w:ascii="Arial" w:hAnsi="Arial" w:cs="Arial"/>
                <w:color w:val="000000" w:themeColor="text1"/>
                <w:sz w:val="22"/>
                <w:szCs w:val="22"/>
              </w:rPr>
              <w:t>.</w:t>
            </w:r>
            <w:r w:rsidRPr="009B12FF">
              <w:rPr>
                <w:rFonts w:ascii="Arial" w:hAnsi="Arial" w:cs="Arial"/>
                <w:color w:val="000000" w:themeColor="text1"/>
                <w:sz w:val="22"/>
                <w:szCs w:val="22"/>
              </w:rPr>
              <w:t>78</w:t>
            </w:r>
            <w:r w:rsidR="00E27C72" w:rsidRPr="009B12FF">
              <w:rPr>
                <w:rFonts w:ascii="Arial" w:hAnsi="Arial" w:cs="Arial"/>
                <w:color w:val="000000" w:themeColor="text1"/>
                <w:sz w:val="22"/>
                <w:szCs w:val="22"/>
              </w:rPr>
              <w:t>3.</w:t>
            </w:r>
            <w:r w:rsidRPr="009B12FF">
              <w:rPr>
                <w:rFonts w:ascii="Arial" w:hAnsi="Arial" w:cs="Arial"/>
                <w:color w:val="000000" w:themeColor="text1"/>
                <w:sz w:val="22"/>
                <w:szCs w:val="22"/>
              </w:rPr>
              <w:t>95</w:t>
            </w:r>
          </w:p>
        </w:tc>
        <w:tc>
          <w:tcPr>
            <w:tcW w:w="1639" w:type="dxa"/>
            <w:gridSpan w:val="2"/>
            <w:vAlign w:val="bottom"/>
          </w:tcPr>
          <w:p w:rsidR="00CA013E" w:rsidRPr="009B12FF" w:rsidRDefault="008B1FBF" w:rsidP="008B1FBF">
            <w:pPr>
              <w:jc w:val="center"/>
              <w:rPr>
                <w:rFonts w:ascii="Arial" w:hAnsi="Arial" w:cs="Arial"/>
                <w:color w:val="000000" w:themeColor="text1"/>
                <w:sz w:val="22"/>
                <w:szCs w:val="22"/>
              </w:rPr>
            </w:pPr>
            <w:r w:rsidRPr="009B12FF">
              <w:rPr>
                <w:rFonts w:ascii="Arial" w:hAnsi="Arial" w:cs="Arial"/>
                <w:color w:val="000000" w:themeColor="text1"/>
                <w:sz w:val="22"/>
                <w:szCs w:val="22"/>
              </w:rPr>
              <w:t>78</w:t>
            </w:r>
            <w:r w:rsidR="00E27C72" w:rsidRPr="009B12FF">
              <w:rPr>
                <w:rFonts w:ascii="Arial" w:hAnsi="Arial" w:cs="Arial"/>
                <w:color w:val="000000" w:themeColor="text1"/>
                <w:sz w:val="22"/>
                <w:szCs w:val="22"/>
              </w:rPr>
              <w:t>.</w:t>
            </w:r>
            <w:r w:rsidRPr="009B12FF">
              <w:rPr>
                <w:rFonts w:ascii="Arial" w:hAnsi="Arial" w:cs="Arial"/>
                <w:color w:val="000000" w:themeColor="text1"/>
                <w:sz w:val="22"/>
                <w:szCs w:val="22"/>
              </w:rPr>
              <w:t>96</w:t>
            </w:r>
            <w:r w:rsidR="00E27C72" w:rsidRPr="009B12FF">
              <w:rPr>
                <w:rFonts w:ascii="Arial" w:hAnsi="Arial" w:cs="Arial"/>
                <w:color w:val="000000" w:themeColor="text1"/>
                <w:sz w:val="22"/>
                <w:szCs w:val="22"/>
              </w:rPr>
              <w:t>%</w:t>
            </w:r>
          </w:p>
        </w:tc>
        <w:tc>
          <w:tcPr>
            <w:tcW w:w="1229" w:type="dxa"/>
            <w:vAlign w:val="bottom"/>
          </w:tcPr>
          <w:p w:rsidR="00CA013E" w:rsidRPr="009B12FF" w:rsidRDefault="008B1FBF" w:rsidP="0080407A">
            <w:pPr>
              <w:jc w:val="center"/>
              <w:rPr>
                <w:rFonts w:ascii="Arial" w:hAnsi="Arial" w:cs="Arial"/>
                <w:color w:val="000000" w:themeColor="text1"/>
                <w:sz w:val="22"/>
                <w:szCs w:val="22"/>
              </w:rPr>
            </w:pPr>
            <w:r w:rsidRPr="009B12FF">
              <w:rPr>
                <w:rFonts w:ascii="Arial" w:hAnsi="Arial" w:cs="Arial"/>
                <w:color w:val="000000" w:themeColor="text1"/>
                <w:sz w:val="22"/>
                <w:szCs w:val="22"/>
              </w:rPr>
              <w:t>80.</w:t>
            </w:r>
            <w:r w:rsidR="00E27C72" w:rsidRPr="009B12FF">
              <w:rPr>
                <w:rFonts w:ascii="Arial" w:hAnsi="Arial" w:cs="Arial"/>
                <w:color w:val="000000" w:themeColor="text1"/>
                <w:sz w:val="22"/>
                <w:szCs w:val="22"/>
              </w:rPr>
              <w:t>7</w:t>
            </w:r>
            <w:r w:rsidRPr="009B12FF">
              <w:rPr>
                <w:rFonts w:ascii="Arial" w:hAnsi="Arial" w:cs="Arial"/>
                <w:color w:val="000000" w:themeColor="text1"/>
                <w:sz w:val="22"/>
                <w:szCs w:val="22"/>
              </w:rPr>
              <w:t>8</w:t>
            </w:r>
            <w:r w:rsidR="00E27C72" w:rsidRPr="009B12FF">
              <w:rPr>
                <w:rFonts w:ascii="Arial" w:hAnsi="Arial" w:cs="Arial"/>
                <w:color w:val="000000" w:themeColor="text1"/>
                <w:sz w:val="22"/>
                <w:szCs w:val="22"/>
              </w:rPr>
              <w:t>%</w:t>
            </w:r>
          </w:p>
        </w:tc>
      </w:tr>
      <w:tr w:rsidR="0004631C" w:rsidRPr="009B12FF" w:rsidTr="00610553">
        <w:trPr>
          <w:trHeight w:val="414"/>
          <w:jc w:val="center"/>
        </w:trPr>
        <w:tc>
          <w:tcPr>
            <w:tcW w:w="2228" w:type="dxa"/>
            <w:tcBorders>
              <w:bottom w:val="single" w:sz="4" w:space="0" w:color="auto"/>
            </w:tcBorders>
          </w:tcPr>
          <w:p w:rsidR="0004631C" w:rsidRPr="009B12FF" w:rsidRDefault="0004631C" w:rsidP="0080407A">
            <w:pPr>
              <w:jc w:val="center"/>
              <w:rPr>
                <w:rFonts w:ascii="Arial" w:eastAsia="Times New Roman" w:hAnsi="Arial" w:cs="Arial"/>
                <w:color w:val="000000" w:themeColor="text1"/>
                <w:sz w:val="22"/>
                <w:szCs w:val="22"/>
                <w:lang w:val="es-CR"/>
              </w:rPr>
            </w:pPr>
            <w:r w:rsidRPr="009B12FF">
              <w:rPr>
                <w:rFonts w:ascii="Arial" w:eastAsia="Times New Roman" w:hAnsi="Arial" w:cs="Arial"/>
                <w:color w:val="000000" w:themeColor="text1"/>
                <w:sz w:val="22"/>
                <w:szCs w:val="22"/>
                <w:lang w:val="es-CR"/>
              </w:rPr>
              <w:t>Gestión Social</w:t>
            </w:r>
          </w:p>
        </w:tc>
        <w:tc>
          <w:tcPr>
            <w:tcW w:w="1868" w:type="dxa"/>
            <w:tcBorders>
              <w:bottom w:val="single" w:sz="4" w:space="0" w:color="auto"/>
            </w:tcBorders>
            <w:vAlign w:val="bottom"/>
          </w:tcPr>
          <w:p w:rsidR="0004631C" w:rsidRPr="009B12FF" w:rsidRDefault="00CB7142" w:rsidP="005109D6">
            <w:pPr>
              <w:jc w:val="right"/>
              <w:rPr>
                <w:rFonts w:ascii="Arial" w:hAnsi="Arial" w:cs="Arial"/>
                <w:bCs/>
                <w:color w:val="000000" w:themeColor="text1"/>
                <w:sz w:val="22"/>
                <w:szCs w:val="22"/>
              </w:rPr>
            </w:pPr>
            <w:r w:rsidRPr="009B12FF">
              <w:rPr>
                <w:rFonts w:ascii="Arial" w:hAnsi="Arial" w:cs="Arial"/>
                <w:bCs/>
                <w:color w:val="000000" w:themeColor="text1"/>
                <w:sz w:val="22"/>
                <w:szCs w:val="22"/>
              </w:rPr>
              <w:t>39</w:t>
            </w:r>
            <w:r w:rsidR="005109D6" w:rsidRPr="009B12FF">
              <w:rPr>
                <w:rFonts w:ascii="Arial" w:hAnsi="Arial" w:cs="Arial"/>
                <w:bCs/>
                <w:color w:val="000000" w:themeColor="text1"/>
                <w:sz w:val="22"/>
                <w:szCs w:val="22"/>
              </w:rPr>
              <w:t>.22</w:t>
            </w:r>
            <w:r w:rsidR="00E27C72" w:rsidRPr="009B12FF">
              <w:rPr>
                <w:rFonts w:ascii="Arial" w:hAnsi="Arial" w:cs="Arial"/>
                <w:bCs/>
                <w:color w:val="000000" w:themeColor="text1"/>
                <w:sz w:val="22"/>
                <w:szCs w:val="22"/>
              </w:rPr>
              <w:t>5.</w:t>
            </w:r>
            <w:r w:rsidR="005109D6" w:rsidRPr="009B12FF">
              <w:rPr>
                <w:rFonts w:ascii="Arial" w:hAnsi="Arial" w:cs="Arial"/>
                <w:bCs/>
                <w:color w:val="000000" w:themeColor="text1"/>
                <w:sz w:val="22"/>
                <w:szCs w:val="22"/>
              </w:rPr>
              <w:t>926</w:t>
            </w:r>
            <w:r w:rsidR="00E27C72" w:rsidRPr="009B12FF">
              <w:rPr>
                <w:rFonts w:ascii="Arial" w:hAnsi="Arial" w:cs="Arial"/>
                <w:bCs/>
                <w:color w:val="000000" w:themeColor="text1"/>
                <w:sz w:val="22"/>
                <w:szCs w:val="22"/>
              </w:rPr>
              <w:t>.000</w:t>
            </w:r>
          </w:p>
        </w:tc>
        <w:tc>
          <w:tcPr>
            <w:tcW w:w="2034" w:type="dxa"/>
            <w:tcBorders>
              <w:bottom w:val="single" w:sz="4" w:space="0" w:color="auto"/>
            </w:tcBorders>
            <w:vAlign w:val="bottom"/>
          </w:tcPr>
          <w:p w:rsidR="0004631C" w:rsidRPr="009B12FF" w:rsidRDefault="00E27C72" w:rsidP="004975B2">
            <w:pPr>
              <w:jc w:val="right"/>
              <w:rPr>
                <w:rFonts w:ascii="Arial" w:hAnsi="Arial" w:cs="Arial"/>
                <w:bCs/>
                <w:color w:val="000000" w:themeColor="text1"/>
                <w:sz w:val="22"/>
                <w:szCs w:val="22"/>
              </w:rPr>
            </w:pPr>
            <w:r w:rsidRPr="009B12FF">
              <w:rPr>
                <w:rFonts w:ascii="Arial" w:hAnsi="Arial" w:cs="Arial"/>
                <w:bCs/>
                <w:color w:val="000000" w:themeColor="text1"/>
                <w:sz w:val="22"/>
                <w:szCs w:val="22"/>
              </w:rPr>
              <w:t>2</w:t>
            </w:r>
            <w:r w:rsidR="004975B2" w:rsidRPr="009B12FF">
              <w:rPr>
                <w:rFonts w:ascii="Arial" w:hAnsi="Arial" w:cs="Arial"/>
                <w:bCs/>
                <w:color w:val="000000" w:themeColor="text1"/>
                <w:sz w:val="22"/>
                <w:szCs w:val="22"/>
              </w:rPr>
              <w:t>6</w:t>
            </w:r>
            <w:r w:rsidRPr="009B12FF">
              <w:rPr>
                <w:rFonts w:ascii="Arial" w:hAnsi="Arial" w:cs="Arial"/>
                <w:bCs/>
                <w:color w:val="000000" w:themeColor="text1"/>
                <w:sz w:val="22"/>
                <w:szCs w:val="22"/>
              </w:rPr>
              <w:t>.</w:t>
            </w:r>
            <w:r w:rsidR="004975B2" w:rsidRPr="009B12FF">
              <w:rPr>
                <w:rFonts w:ascii="Arial" w:hAnsi="Arial" w:cs="Arial"/>
                <w:bCs/>
                <w:color w:val="000000" w:themeColor="text1"/>
                <w:sz w:val="22"/>
                <w:szCs w:val="22"/>
              </w:rPr>
              <w:t>625</w:t>
            </w:r>
            <w:r w:rsidRPr="009B12FF">
              <w:rPr>
                <w:rFonts w:ascii="Arial" w:hAnsi="Arial" w:cs="Arial"/>
                <w:bCs/>
                <w:color w:val="000000" w:themeColor="text1"/>
                <w:sz w:val="22"/>
                <w:szCs w:val="22"/>
              </w:rPr>
              <w:t>.</w:t>
            </w:r>
            <w:r w:rsidR="004975B2" w:rsidRPr="009B12FF">
              <w:rPr>
                <w:rFonts w:ascii="Arial" w:hAnsi="Arial" w:cs="Arial"/>
                <w:bCs/>
                <w:color w:val="000000" w:themeColor="text1"/>
                <w:sz w:val="22"/>
                <w:szCs w:val="22"/>
              </w:rPr>
              <w:t>704</w:t>
            </w:r>
            <w:r w:rsidRPr="009B12FF">
              <w:rPr>
                <w:rFonts w:ascii="Arial" w:hAnsi="Arial" w:cs="Arial"/>
                <w:bCs/>
                <w:color w:val="000000" w:themeColor="text1"/>
                <w:sz w:val="22"/>
                <w:szCs w:val="22"/>
              </w:rPr>
              <w:t>.</w:t>
            </w:r>
            <w:r w:rsidR="004975B2" w:rsidRPr="009B12FF">
              <w:rPr>
                <w:rFonts w:ascii="Arial" w:hAnsi="Arial" w:cs="Arial"/>
                <w:bCs/>
                <w:color w:val="000000" w:themeColor="text1"/>
                <w:sz w:val="22"/>
                <w:szCs w:val="22"/>
              </w:rPr>
              <w:t>491</w:t>
            </w:r>
            <w:r w:rsidRPr="009B12FF">
              <w:rPr>
                <w:rFonts w:ascii="Arial" w:hAnsi="Arial" w:cs="Arial"/>
                <w:bCs/>
                <w:color w:val="000000" w:themeColor="text1"/>
                <w:sz w:val="22"/>
                <w:szCs w:val="22"/>
              </w:rPr>
              <w:t>.</w:t>
            </w:r>
            <w:r w:rsidR="004975B2" w:rsidRPr="009B12FF">
              <w:rPr>
                <w:rFonts w:ascii="Arial" w:hAnsi="Arial" w:cs="Arial"/>
                <w:bCs/>
                <w:color w:val="000000" w:themeColor="text1"/>
                <w:sz w:val="22"/>
                <w:szCs w:val="22"/>
              </w:rPr>
              <w:t>25</w:t>
            </w:r>
          </w:p>
        </w:tc>
        <w:tc>
          <w:tcPr>
            <w:tcW w:w="1639" w:type="dxa"/>
            <w:gridSpan w:val="2"/>
            <w:tcBorders>
              <w:bottom w:val="single" w:sz="4" w:space="0" w:color="auto"/>
            </w:tcBorders>
            <w:vAlign w:val="bottom"/>
          </w:tcPr>
          <w:p w:rsidR="0004631C" w:rsidRPr="009B12FF" w:rsidRDefault="008B1FBF" w:rsidP="0080407A">
            <w:pPr>
              <w:jc w:val="center"/>
              <w:rPr>
                <w:rFonts w:ascii="Arial" w:hAnsi="Arial" w:cs="Arial"/>
                <w:bCs/>
                <w:color w:val="000000" w:themeColor="text1"/>
                <w:sz w:val="22"/>
                <w:szCs w:val="22"/>
              </w:rPr>
            </w:pPr>
            <w:r w:rsidRPr="009B12FF">
              <w:rPr>
                <w:rFonts w:ascii="Arial" w:hAnsi="Arial" w:cs="Arial"/>
                <w:bCs/>
                <w:color w:val="000000" w:themeColor="text1"/>
                <w:sz w:val="22"/>
                <w:szCs w:val="22"/>
              </w:rPr>
              <w:t>67.88</w:t>
            </w:r>
            <w:r w:rsidR="00E27C72" w:rsidRPr="009B12FF">
              <w:rPr>
                <w:rFonts w:ascii="Arial" w:hAnsi="Arial" w:cs="Arial"/>
                <w:bCs/>
                <w:color w:val="000000" w:themeColor="text1"/>
                <w:sz w:val="22"/>
                <w:szCs w:val="22"/>
              </w:rPr>
              <w:t>%</w:t>
            </w:r>
          </w:p>
        </w:tc>
        <w:tc>
          <w:tcPr>
            <w:tcW w:w="1229" w:type="dxa"/>
            <w:tcBorders>
              <w:bottom w:val="single" w:sz="4" w:space="0" w:color="auto"/>
            </w:tcBorders>
            <w:vAlign w:val="bottom"/>
          </w:tcPr>
          <w:p w:rsidR="0004631C" w:rsidRPr="009B12FF" w:rsidRDefault="008B1FBF" w:rsidP="0080407A">
            <w:pPr>
              <w:jc w:val="center"/>
              <w:rPr>
                <w:rFonts w:ascii="Arial" w:hAnsi="Arial" w:cs="Arial"/>
                <w:bCs/>
                <w:color w:val="000000" w:themeColor="text1"/>
                <w:sz w:val="22"/>
                <w:szCs w:val="22"/>
              </w:rPr>
            </w:pPr>
            <w:r w:rsidRPr="009B12FF">
              <w:rPr>
                <w:rFonts w:ascii="Arial" w:hAnsi="Arial" w:cs="Arial"/>
                <w:bCs/>
                <w:color w:val="000000" w:themeColor="text1"/>
                <w:sz w:val="22"/>
                <w:szCs w:val="22"/>
              </w:rPr>
              <w:t>65.4</w:t>
            </w:r>
            <w:r w:rsidR="00E27C72" w:rsidRPr="009B12FF">
              <w:rPr>
                <w:rFonts w:ascii="Arial" w:hAnsi="Arial" w:cs="Arial"/>
                <w:bCs/>
                <w:color w:val="000000" w:themeColor="text1"/>
                <w:sz w:val="22"/>
                <w:szCs w:val="22"/>
              </w:rPr>
              <w:t>7%</w:t>
            </w:r>
          </w:p>
        </w:tc>
      </w:tr>
      <w:tr w:rsidR="00E27C72" w:rsidRPr="009B12FF" w:rsidTr="00610553">
        <w:trPr>
          <w:trHeight w:val="414"/>
          <w:jc w:val="center"/>
        </w:trPr>
        <w:tc>
          <w:tcPr>
            <w:tcW w:w="2228" w:type="dxa"/>
            <w:tcBorders>
              <w:bottom w:val="single" w:sz="4" w:space="0" w:color="auto"/>
            </w:tcBorders>
          </w:tcPr>
          <w:p w:rsidR="00CA013E" w:rsidRPr="009B12FF" w:rsidRDefault="00CA013E" w:rsidP="00E27C72">
            <w:pPr>
              <w:jc w:val="center"/>
              <w:rPr>
                <w:rFonts w:ascii="Arial" w:eastAsia="Times New Roman" w:hAnsi="Arial" w:cs="Arial"/>
                <w:b/>
                <w:color w:val="000000" w:themeColor="text1"/>
                <w:sz w:val="22"/>
                <w:szCs w:val="22"/>
                <w:lang w:val="es-CR"/>
              </w:rPr>
            </w:pPr>
            <w:r w:rsidRPr="009B12FF">
              <w:rPr>
                <w:rFonts w:ascii="Arial" w:eastAsia="Times New Roman" w:hAnsi="Arial" w:cs="Arial"/>
                <w:b/>
                <w:color w:val="000000" w:themeColor="text1"/>
                <w:sz w:val="22"/>
                <w:szCs w:val="22"/>
                <w:lang w:val="es-CR"/>
              </w:rPr>
              <w:t>Total del Presupuesto</w:t>
            </w:r>
          </w:p>
        </w:tc>
        <w:tc>
          <w:tcPr>
            <w:tcW w:w="1868" w:type="dxa"/>
            <w:tcBorders>
              <w:bottom w:val="single" w:sz="4" w:space="0" w:color="auto"/>
            </w:tcBorders>
            <w:vAlign w:val="bottom"/>
          </w:tcPr>
          <w:p w:rsidR="00CA013E" w:rsidRPr="009B12FF" w:rsidRDefault="005109D6" w:rsidP="005109D6">
            <w:pPr>
              <w:jc w:val="right"/>
              <w:rPr>
                <w:rFonts w:ascii="Arial" w:hAnsi="Arial" w:cs="Arial"/>
                <w:b/>
                <w:bCs/>
                <w:color w:val="000000" w:themeColor="text1"/>
                <w:sz w:val="22"/>
                <w:szCs w:val="22"/>
              </w:rPr>
            </w:pPr>
            <w:r w:rsidRPr="009B12FF">
              <w:rPr>
                <w:rFonts w:ascii="Arial" w:hAnsi="Arial" w:cs="Arial"/>
                <w:b/>
                <w:bCs/>
                <w:color w:val="000000" w:themeColor="text1"/>
                <w:sz w:val="22"/>
                <w:szCs w:val="22"/>
              </w:rPr>
              <w:t>187</w:t>
            </w:r>
            <w:r w:rsidR="00E27C72" w:rsidRPr="009B12FF">
              <w:rPr>
                <w:rFonts w:ascii="Arial" w:hAnsi="Arial" w:cs="Arial"/>
                <w:b/>
                <w:bCs/>
                <w:color w:val="000000" w:themeColor="text1"/>
                <w:sz w:val="22"/>
                <w:szCs w:val="22"/>
              </w:rPr>
              <w:t>.</w:t>
            </w:r>
            <w:r w:rsidRPr="009B12FF">
              <w:rPr>
                <w:rFonts w:ascii="Arial" w:hAnsi="Arial" w:cs="Arial"/>
                <w:b/>
                <w:bCs/>
                <w:color w:val="000000" w:themeColor="text1"/>
                <w:sz w:val="22"/>
                <w:szCs w:val="22"/>
              </w:rPr>
              <w:t>168</w:t>
            </w:r>
            <w:r w:rsidR="00E27C72" w:rsidRPr="009B12FF">
              <w:rPr>
                <w:rFonts w:ascii="Arial" w:hAnsi="Arial" w:cs="Arial"/>
                <w:b/>
                <w:bCs/>
                <w:color w:val="000000" w:themeColor="text1"/>
                <w:sz w:val="22"/>
                <w:szCs w:val="22"/>
              </w:rPr>
              <w:t>.</w:t>
            </w:r>
            <w:r w:rsidRPr="009B12FF">
              <w:rPr>
                <w:rFonts w:ascii="Arial" w:hAnsi="Arial" w:cs="Arial"/>
                <w:b/>
                <w:bCs/>
                <w:color w:val="000000" w:themeColor="text1"/>
                <w:sz w:val="22"/>
                <w:szCs w:val="22"/>
              </w:rPr>
              <w:t>897</w:t>
            </w:r>
            <w:r w:rsidR="00E27C72" w:rsidRPr="009B12FF">
              <w:rPr>
                <w:rFonts w:ascii="Arial" w:hAnsi="Arial" w:cs="Arial"/>
                <w:b/>
                <w:bCs/>
                <w:color w:val="000000" w:themeColor="text1"/>
                <w:sz w:val="22"/>
                <w:szCs w:val="22"/>
              </w:rPr>
              <w:t>.000</w:t>
            </w:r>
          </w:p>
        </w:tc>
        <w:tc>
          <w:tcPr>
            <w:tcW w:w="2034" w:type="dxa"/>
            <w:tcBorders>
              <w:bottom w:val="single" w:sz="4" w:space="0" w:color="auto"/>
            </w:tcBorders>
            <w:vAlign w:val="bottom"/>
          </w:tcPr>
          <w:p w:rsidR="00CA013E" w:rsidRPr="009B12FF" w:rsidRDefault="00E27C72" w:rsidP="008B1FBF">
            <w:pPr>
              <w:jc w:val="right"/>
              <w:rPr>
                <w:rFonts w:ascii="Arial" w:hAnsi="Arial" w:cs="Arial"/>
                <w:b/>
                <w:bCs/>
                <w:color w:val="000000" w:themeColor="text1"/>
                <w:sz w:val="22"/>
                <w:szCs w:val="22"/>
              </w:rPr>
            </w:pPr>
            <w:r w:rsidRPr="009B12FF">
              <w:rPr>
                <w:rFonts w:ascii="Arial" w:hAnsi="Arial" w:cs="Arial"/>
                <w:b/>
                <w:bCs/>
                <w:color w:val="000000" w:themeColor="text1"/>
                <w:sz w:val="22"/>
                <w:szCs w:val="22"/>
              </w:rPr>
              <w:t>1</w:t>
            </w:r>
            <w:r w:rsidR="008B1FBF" w:rsidRPr="009B12FF">
              <w:rPr>
                <w:rFonts w:ascii="Arial" w:hAnsi="Arial" w:cs="Arial"/>
                <w:b/>
                <w:bCs/>
                <w:color w:val="000000" w:themeColor="text1"/>
                <w:sz w:val="22"/>
                <w:szCs w:val="22"/>
              </w:rPr>
              <w:t>23</w:t>
            </w:r>
            <w:r w:rsidRPr="009B12FF">
              <w:rPr>
                <w:rFonts w:ascii="Arial" w:hAnsi="Arial" w:cs="Arial"/>
                <w:b/>
                <w:bCs/>
                <w:color w:val="000000" w:themeColor="text1"/>
                <w:sz w:val="22"/>
                <w:szCs w:val="22"/>
              </w:rPr>
              <w:t>.</w:t>
            </w:r>
            <w:r w:rsidR="008B1FBF" w:rsidRPr="009B12FF">
              <w:rPr>
                <w:rFonts w:ascii="Arial" w:hAnsi="Arial" w:cs="Arial"/>
                <w:b/>
                <w:bCs/>
                <w:color w:val="000000" w:themeColor="text1"/>
                <w:sz w:val="22"/>
                <w:szCs w:val="22"/>
              </w:rPr>
              <w:t>216</w:t>
            </w:r>
            <w:r w:rsidRPr="009B12FF">
              <w:rPr>
                <w:rFonts w:ascii="Arial" w:hAnsi="Arial" w:cs="Arial"/>
                <w:b/>
                <w:bCs/>
                <w:color w:val="000000" w:themeColor="text1"/>
                <w:sz w:val="22"/>
                <w:szCs w:val="22"/>
              </w:rPr>
              <w:t>.</w:t>
            </w:r>
            <w:r w:rsidR="008B1FBF" w:rsidRPr="009B12FF">
              <w:rPr>
                <w:rFonts w:ascii="Arial" w:hAnsi="Arial" w:cs="Arial"/>
                <w:b/>
                <w:bCs/>
                <w:color w:val="000000" w:themeColor="text1"/>
                <w:sz w:val="22"/>
                <w:szCs w:val="22"/>
              </w:rPr>
              <w:t>279</w:t>
            </w:r>
            <w:r w:rsidRPr="009B12FF">
              <w:rPr>
                <w:rFonts w:ascii="Arial" w:hAnsi="Arial" w:cs="Arial"/>
                <w:b/>
                <w:bCs/>
                <w:color w:val="000000" w:themeColor="text1"/>
                <w:sz w:val="22"/>
                <w:szCs w:val="22"/>
              </w:rPr>
              <w:t>.</w:t>
            </w:r>
            <w:r w:rsidR="008B1FBF" w:rsidRPr="009B12FF">
              <w:rPr>
                <w:rFonts w:ascii="Arial" w:hAnsi="Arial" w:cs="Arial"/>
                <w:b/>
                <w:bCs/>
                <w:color w:val="000000" w:themeColor="text1"/>
                <w:sz w:val="22"/>
                <w:szCs w:val="22"/>
              </w:rPr>
              <w:t>191</w:t>
            </w:r>
            <w:r w:rsidRPr="009B12FF">
              <w:rPr>
                <w:rFonts w:ascii="Arial" w:hAnsi="Arial" w:cs="Arial"/>
                <w:b/>
                <w:bCs/>
                <w:color w:val="000000" w:themeColor="text1"/>
                <w:sz w:val="22"/>
                <w:szCs w:val="22"/>
              </w:rPr>
              <w:t>.</w:t>
            </w:r>
            <w:r w:rsidR="008B1FBF" w:rsidRPr="009B12FF">
              <w:rPr>
                <w:rFonts w:ascii="Arial" w:hAnsi="Arial" w:cs="Arial"/>
                <w:b/>
                <w:bCs/>
                <w:color w:val="000000" w:themeColor="text1"/>
                <w:sz w:val="22"/>
                <w:szCs w:val="22"/>
              </w:rPr>
              <w:t>13</w:t>
            </w:r>
          </w:p>
        </w:tc>
        <w:tc>
          <w:tcPr>
            <w:tcW w:w="1639" w:type="dxa"/>
            <w:gridSpan w:val="2"/>
            <w:tcBorders>
              <w:bottom w:val="single" w:sz="4" w:space="0" w:color="auto"/>
            </w:tcBorders>
            <w:vAlign w:val="bottom"/>
          </w:tcPr>
          <w:p w:rsidR="00CA013E" w:rsidRPr="009B12FF" w:rsidRDefault="008B1FBF" w:rsidP="0080407A">
            <w:pPr>
              <w:jc w:val="center"/>
              <w:rPr>
                <w:rFonts w:ascii="Arial" w:hAnsi="Arial" w:cs="Arial"/>
                <w:b/>
                <w:bCs/>
                <w:color w:val="000000" w:themeColor="text1"/>
                <w:sz w:val="22"/>
                <w:szCs w:val="22"/>
              </w:rPr>
            </w:pPr>
            <w:r w:rsidRPr="009B12FF">
              <w:rPr>
                <w:rFonts w:ascii="Arial" w:hAnsi="Arial" w:cs="Arial"/>
                <w:b/>
                <w:bCs/>
                <w:color w:val="000000" w:themeColor="text1"/>
                <w:sz w:val="22"/>
                <w:szCs w:val="22"/>
              </w:rPr>
              <w:t>65.83</w:t>
            </w:r>
            <w:r w:rsidR="00E27C72" w:rsidRPr="009B12FF">
              <w:rPr>
                <w:rFonts w:ascii="Arial" w:hAnsi="Arial" w:cs="Arial"/>
                <w:b/>
                <w:bCs/>
                <w:color w:val="000000" w:themeColor="text1"/>
                <w:sz w:val="22"/>
                <w:szCs w:val="22"/>
              </w:rPr>
              <w:t>%</w:t>
            </w:r>
          </w:p>
        </w:tc>
        <w:tc>
          <w:tcPr>
            <w:tcW w:w="1229" w:type="dxa"/>
            <w:tcBorders>
              <w:bottom w:val="single" w:sz="4" w:space="0" w:color="auto"/>
            </w:tcBorders>
            <w:vAlign w:val="bottom"/>
          </w:tcPr>
          <w:p w:rsidR="00CA013E" w:rsidRPr="009B12FF" w:rsidRDefault="008B1FBF" w:rsidP="0080407A">
            <w:pPr>
              <w:jc w:val="center"/>
              <w:rPr>
                <w:rFonts w:ascii="Arial" w:hAnsi="Arial" w:cs="Arial"/>
                <w:b/>
                <w:bCs/>
                <w:color w:val="000000" w:themeColor="text1"/>
                <w:sz w:val="22"/>
                <w:szCs w:val="22"/>
              </w:rPr>
            </w:pPr>
            <w:r w:rsidRPr="009B12FF">
              <w:rPr>
                <w:rFonts w:ascii="Arial" w:hAnsi="Arial" w:cs="Arial"/>
                <w:b/>
                <w:bCs/>
                <w:color w:val="000000" w:themeColor="text1"/>
                <w:sz w:val="22"/>
                <w:szCs w:val="22"/>
              </w:rPr>
              <w:t>81.3</w:t>
            </w:r>
            <w:r w:rsidR="00E27C72" w:rsidRPr="009B12FF">
              <w:rPr>
                <w:rFonts w:ascii="Arial" w:hAnsi="Arial" w:cs="Arial"/>
                <w:b/>
                <w:bCs/>
                <w:color w:val="000000" w:themeColor="text1"/>
                <w:sz w:val="22"/>
                <w:szCs w:val="22"/>
              </w:rPr>
              <w:t>3%</w:t>
            </w:r>
          </w:p>
        </w:tc>
      </w:tr>
    </w:tbl>
    <w:p w:rsidR="003F4AFE" w:rsidRPr="009B12FF" w:rsidRDefault="003F4AFE" w:rsidP="003F4AFE">
      <w:pPr>
        <w:outlineLvl w:val="0"/>
        <w:rPr>
          <w:rFonts w:ascii="Arial" w:hAnsi="Arial" w:cs="Arial"/>
          <w:b/>
          <w:color w:val="000000" w:themeColor="text1"/>
          <w:sz w:val="16"/>
          <w:szCs w:val="16"/>
        </w:rPr>
      </w:pPr>
      <w:r w:rsidRPr="009B12FF">
        <w:rPr>
          <w:rFonts w:ascii="Arial" w:hAnsi="Arial" w:cs="Arial"/>
          <w:b/>
          <w:color w:val="FF0000"/>
          <w:sz w:val="16"/>
          <w:szCs w:val="16"/>
        </w:rPr>
        <w:t xml:space="preserve">       </w:t>
      </w:r>
      <w:bookmarkStart w:id="28" w:name="_Toc346011468"/>
      <w:bookmarkStart w:id="29" w:name="_Toc346011499"/>
      <w:bookmarkStart w:id="30" w:name="_Toc346011562"/>
      <w:bookmarkStart w:id="31" w:name="_Toc376955564"/>
      <w:r w:rsidRPr="009B12FF">
        <w:rPr>
          <w:rFonts w:ascii="Arial" w:hAnsi="Arial" w:cs="Arial"/>
          <w:b/>
          <w:color w:val="000000" w:themeColor="text1"/>
          <w:sz w:val="16"/>
          <w:szCs w:val="16"/>
        </w:rPr>
        <w:t>Fuente de información: DP-P-0043 del 10 de enero 201</w:t>
      </w:r>
      <w:bookmarkEnd w:id="28"/>
      <w:bookmarkEnd w:id="29"/>
      <w:bookmarkEnd w:id="30"/>
      <w:r w:rsidRPr="009B12FF">
        <w:rPr>
          <w:rFonts w:ascii="Arial" w:hAnsi="Arial" w:cs="Arial"/>
          <w:b/>
          <w:color w:val="000000" w:themeColor="text1"/>
          <w:sz w:val="16"/>
          <w:szCs w:val="16"/>
        </w:rPr>
        <w:t>4 Información preliminar</w:t>
      </w:r>
      <w:bookmarkEnd w:id="31"/>
      <w:r w:rsidRPr="009B12FF">
        <w:rPr>
          <w:rFonts w:ascii="Arial" w:hAnsi="Arial" w:cs="Arial"/>
          <w:b/>
          <w:color w:val="000000" w:themeColor="text1"/>
          <w:sz w:val="16"/>
          <w:szCs w:val="16"/>
        </w:rPr>
        <w:t>.</w:t>
      </w:r>
    </w:p>
    <w:p w:rsidR="008226DE" w:rsidRDefault="008226DE" w:rsidP="00930E8B">
      <w:pPr>
        <w:pBdr>
          <w:top w:val="single" w:sz="4" w:space="1" w:color="auto"/>
        </w:pBdr>
        <w:jc w:val="both"/>
        <w:rPr>
          <w:rFonts w:ascii="Arial" w:hAnsi="Arial" w:cs="Arial"/>
          <w:color w:val="000000" w:themeColor="text1"/>
          <w:sz w:val="22"/>
          <w:szCs w:val="22"/>
        </w:rPr>
      </w:pPr>
    </w:p>
    <w:p w:rsidR="00610553" w:rsidRPr="009B12FF" w:rsidRDefault="00610553" w:rsidP="00930E8B">
      <w:pPr>
        <w:pBdr>
          <w:top w:val="single" w:sz="4" w:space="1" w:color="auto"/>
        </w:pBdr>
        <w:jc w:val="both"/>
        <w:rPr>
          <w:rFonts w:ascii="Arial" w:hAnsi="Arial" w:cs="Arial"/>
          <w:color w:val="000000" w:themeColor="text1"/>
          <w:sz w:val="22"/>
          <w:szCs w:val="22"/>
        </w:rPr>
      </w:pPr>
    </w:p>
    <w:p w:rsidR="002F50E5" w:rsidRPr="009B12FF" w:rsidRDefault="00ED0BD7" w:rsidP="00930E8B">
      <w:pPr>
        <w:jc w:val="both"/>
        <w:rPr>
          <w:rFonts w:ascii="Arial" w:hAnsi="Arial" w:cs="Arial"/>
          <w:color w:val="000000" w:themeColor="text1"/>
          <w:sz w:val="22"/>
          <w:szCs w:val="22"/>
        </w:rPr>
      </w:pPr>
      <w:r w:rsidRPr="009B12FF">
        <w:rPr>
          <w:rFonts w:ascii="Arial" w:hAnsi="Arial" w:cs="Arial"/>
          <w:color w:val="000000" w:themeColor="text1"/>
          <w:sz w:val="22"/>
          <w:szCs w:val="22"/>
        </w:rPr>
        <w:t xml:space="preserve">El gasto ejecutado en el 2013 muestra la cifra de </w:t>
      </w:r>
      <w:r w:rsidRPr="009B12FF">
        <w:rPr>
          <w:rFonts w:ascii="Arial" w:hAnsi="Arial" w:cs="Arial"/>
          <w:sz w:val="22"/>
          <w:szCs w:val="22"/>
        </w:rPr>
        <w:t>¢123</w:t>
      </w:r>
      <w:r w:rsidR="002F50E5" w:rsidRPr="009B12FF">
        <w:rPr>
          <w:rFonts w:ascii="Arial" w:hAnsi="Arial" w:cs="Arial"/>
          <w:sz w:val="22"/>
          <w:szCs w:val="22"/>
        </w:rPr>
        <w:t>.</w:t>
      </w:r>
      <w:r w:rsidRPr="009B12FF">
        <w:rPr>
          <w:rFonts w:ascii="Arial" w:hAnsi="Arial" w:cs="Arial"/>
          <w:sz w:val="22"/>
          <w:szCs w:val="22"/>
        </w:rPr>
        <w:t>216</w:t>
      </w:r>
      <w:r w:rsidR="002F50E5" w:rsidRPr="009B12FF">
        <w:rPr>
          <w:rFonts w:ascii="Arial" w:hAnsi="Arial" w:cs="Arial"/>
          <w:sz w:val="22"/>
          <w:szCs w:val="22"/>
        </w:rPr>
        <w:t>.</w:t>
      </w:r>
      <w:r w:rsidRPr="009B12FF">
        <w:rPr>
          <w:rFonts w:ascii="Arial" w:hAnsi="Arial" w:cs="Arial"/>
          <w:sz w:val="22"/>
          <w:szCs w:val="22"/>
        </w:rPr>
        <w:t>279</w:t>
      </w:r>
      <w:r w:rsidR="002F50E5" w:rsidRPr="009B12FF">
        <w:rPr>
          <w:rFonts w:ascii="Arial" w:hAnsi="Arial" w:cs="Arial"/>
          <w:sz w:val="22"/>
          <w:szCs w:val="22"/>
        </w:rPr>
        <w:t>.</w:t>
      </w:r>
      <w:r w:rsidRPr="009B12FF">
        <w:rPr>
          <w:rFonts w:ascii="Arial" w:hAnsi="Arial" w:cs="Arial"/>
          <w:sz w:val="22"/>
          <w:szCs w:val="22"/>
        </w:rPr>
        <w:t>191</w:t>
      </w:r>
      <w:r w:rsidR="002F50E5" w:rsidRPr="009B12FF">
        <w:rPr>
          <w:rFonts w:ascii="Arial" w:hAnsi="Arial" w:cs="Arial"/>
          <w:sz w:val="22"/>
          <w:szCs w:val="22"/>
        </w:rPr>
        <w:t>.</w:t>
      </w:r>
      <w:r w:rsidRPr="009B12FF">
        <w:rPr>
          <w:rFonts w:ascii="Arial" w:hAnsi="Arial" w:cs="Arial"/>
          <w:sz w:val="22"/>
          <w:szCs w:val="22"/>
        </w:rPr>
        <w:t>13</w:t>
      </w:r>
      <w:r w:rsidR="002F50E5" w:rsidRPr="009B12FF">
        <w:rPr>
          <w:rFonts w:ascii="Arial" w:hAnsi="Arial" w:cs="Arial"/>
          <w:sz w:val="22"/>
          <w:szCs w:val="22"/>
        </w:rPr>
        <w:t xml:space="preserve"> </w:t>
      </w:r>
      <w:r w:rsidR="002F50E5" w:rsidRPr="009B12FF">
        <w:rPr>
          <w:rFonts w:ascii="Arial" w:hAnsi="Arial" w:cs="Arial"/>
          <w:color w:val="000000" w:themeColor="text1"/>
          <w:sz w:val="22"/>
          <w:szCs w:val="22"/>
        </w:rPr>
        <w:t xml:space="preserve">y un </w:t>
      </w:r>
      <w:r w:rsidR="007A2A04" w:rsidRPr="009B12FF">
        <w:rPr>
          <w:rFonts w:ascii="Arial" w:hAnsi="Arial" w:cs="Arial"/>
          <w:color w:val="000000" w:themeColor="text1"/>
          <w:sz w:val="22"/>
          <w:szCs w:val="22"/>
        </w:rPr>
        <w:t>porcentaje de ejecución de 65.83</w:t>
      </w:r>
      <w:r w:rsidR="002F50E5" w:rsidRPr="009B12FF">
        <w:rPr>
          <w:rFonts w:ascii="Arial" w:hAnsi="Arial" w:cs="Arial"/>
          <w:color w:val="000000" w:themeColor="text1"/>
          <w:sz w:val="22"/>
          <w:szCs w:val="22"/>
        </w:rPr>
        <w:t>%, es importante indicar que estos datos son preliminares</w:t>
      </w:r>
      <w:r w:rsidR="007A2A04" w:rsidRPr="009B12FF">
        <w:rPr>
          <w:rFonts w:ascii="Arial" w:hAnsi="Arial" w:cs="Arial"/>
          <w:color w:val="000000" w:themeColor="text1"/>
          <w:sz w:val="22"/>
          <w:szCs w:val="22"/>
        </w:rPr>
        <w:t>,</w:t>
      </w:r>
      <w:r w:rsidR="002F50E5" w:rsidRPr="009B12FF">
        <w:rPr>
          <w:rFonts w:ascii="Arial" w:hAnsi="Arial" w:cs="Arial"/>
          <w:color w:val="000000" w:themeColor="text1"/>
          <w:sz w:val="22"/>
          <w:szCs w:val="22"/>
        </w:rPr>
        <w:t xml:space="preserve"> una vez obtenido el resultado </w:t>
      </w:r>
      <w:r w:rsidR="003B7A0A" w:rsidRPr="009B12FF">
        <w:rPr>
          <w:rFonts w:ascii="Arial" w:hAnsi="Arial" w:cs="Arial"/>
          <w:color w:val="000000" w:themeColor="text1"/>
          <w:sz w:val="22"/>
          <w:szCs w:val="22"/>
        </w:rPr>
        <w:t xml:space="preserve">del cierre de diciembre junto con </w:t>
      </w:r>
      <w:r w:rsidR="002F50E5" w:rsidRPr="009B12FF">
        <w:rPr>
          <w:rFonts w:ascii="Arial" w:hAnsi="Arial" w:cs="Arial"/>
          <w:color w:val="000000" w:themeColor="text1"/>
          <w:sz w:val="22"/>
          <w:szCs w:val="22"/>
        </w:rPr>
        <w:t>las aplicaciones de los ajustes, los informes de ejecución serán remitidos nuevamente para lo pertinente.</w:t>
      </w:r>
    </w:p>
    <w:p w:rsidR="00FA6735" w:rsidRPr="009B12FF" w:rsidRDefault="00FA6735" w:rsidP="00930E8B">
      <w:pPr>
        <w:jc w:val="both"/>
        <w:rPr>
          <w:rFonts w:ascii="Arial" w:hAnsi="Arial" w:cs="Arial"/>
          <w:color w:val="000000" w:themeColor="text1"/>
          <w:sz w:val="22"/>
          <w:szCs w:val="22"/>
        </w:rPr>
      </w:pPr>
    </w:p>
    <w:p w:rsidR="00164918" w:rsidRDefault="00164918" w:rsidP="00491716">
      <w:pPr>
        <w:spacing w:line="276" w:lineRule="auto"/>
        <w:jc w:val="center"/>
        <w:rPr>
          <w:rFonts w:ascii="Arial" w:hAnsi="Arial" w:cs="Arial"/>
          <w:b/>
          <w:sz w:val="22"/>
          <w:szCs w:val="22"/>
        </w:rPr>
      </w:pPr>
    </w:p>
    <w:p w:rsidR="007303AE" w:rsidRPr="007912AD" w:rsidRDefault="007303AE" w:rsidP="00BF5AEA">
      <w:pPr>
        <w:jc w:val="both"/>
        <w:rPr>
          <w:rFonts w:ascii="Arial" w:hAnsi="Arial" w:cs="Arial"/>
          <w:sz w:val="22"/>
          <w:szCs w:val="22"/>
        </w:rPr>
      </w:pPr>
    </w:p>
    <w:p w:rsidR="00164918" w:rsidRPr="007912AD" w:rsidRDefault="007E0DF5" w:rsidP="00164918">
      <w:pPr>
        <w:spacing w:line="276" w:lineRule="auto"/>
        <w:jc w:val="center"/>
        <w:rPr>
          <w:rFonts w:ascii="Arial" w:hAnsi="Arial" w:cs="Arial"/>
          <w:b/>
          <w:sz w:val="22"/>
          <w:szCs w:val="22"/>
        </w:rPr>
      </w:pPr>
      <w:r>
        <w:rPr>
          <w:rFonts w:ascii="Arial" w:hAnsi="Arial" w:cs="Arial"/>
          <w:b/>
          <w:sz w:val="22"/>
          <w:szCs w:val="22"/>
        </w:rPr>
        <w:t>Conclusión general</w:t>
      </w:r>
    </w:p>
    <w:p w:rsidR="00164918" w:rsidRPr="007912AD" w:rsidRDefault="00164918" w:rsidP="00164918">
      <w:pPr>
        <w:spacing w:line="276" w:lineRule="auto"/>
        <w:rPr>
          <w:rFonts w:ascii="Arial" w:hAnsi="Arial" w:cs="Arial"/>
          <w:b/>
          <w:sz w:val="22"/>
          <w:szCs w:val="22"/>
        </w:rPr>
      </w:pPr>
    </w:p>
    <w:p w:rsidR="00560485" w:rsidRPr="00C371A5" w:rsidRDefault="00560485" w:rsidP="00560485">
      <w:pPr>
        <w:jc w:val="both"/>
        <w:rPr>
          <w:rFonts w:ascii="Arial" w:hAnsi="Arial" w:cs="Arial"/>
        </w:rPr>
      </w:pPr>
      <w:r w:rsidRPr="00C371A5">
        <w:rPr>
          <w:rFonts w:ascii="Arial" w:hAnsi="Arial" w:cs="Arial"/>
        </w:rPr>
        <w:t>Como conclusión general se puede destacar que a nivel global del país muchos sectores económicos han tenido un descenso en los ingresos, no obstante las ventas de loterías han crecido en relación con el mismo período del 201</w:t>
      </w:r>
      <w:r w:rsidR="008A488C" w:rsidRPr="00C371A5">
        <w:rPr>
          <w:rFonts w:ascii="Arial" w:hAnsi="Arial" w:cs="Arial"/>
        </w:rPr>
        <w:t>2</w:t>
      </w:r>
      <w:r w:rsidRPr="00C371A5">
        <w:rPr>
          <w:rFonts w:ascii="Arial" w:hAnsi="Arial" w:cs="Arial"/>
        </w:rPr>
        <w:t xml:space="preserve"> y se continúa estimulando a los consumidores con premios especiales y campañas promocionales  y a los vendedores con programas de incentivos por ventas, a fin de lograr el crecimiento continuo en la generación de ingresos.</w:t>
      </w:r>
    </w:p>
    <w:p w:rsidR="007E0DF5" w:rsidRPr="00C371A5" w:rsidRDefault="007E0DF5" w:rsidP="00560485">
      <w:pPr>
        <w:jc w:val="both"/>
        <w:rPr>
          <w:rFonts w:ascii="Arial" w:hAnsi="Arial" w:cs="Arial"/>
        </w:rPr>
      </w:pPr>
    </w:p>
    <w:p w:rsidR="00D85C0A" w:rsidRPr="00C371A5" w:rsidRDefault="006F05B1" w:rsidP="00560485">
      <w:pPr>
        <w:jc w:val="both"/>
        <w:rPr>
          <w:rFonts w:ascii="Arial" w:hAnsi="Arial" w:cs="Arial"/>
        </w:rPr>
      </w:pPr>
      <w:r w:rsidRPr="00C371A5">
        <w:rPr>
          <w:rFonts w:ascii="Arial" w:hAnsi="Arial" w:cs="Arial"/>
        </w:rPr>
        <w:t>En ese sentido, de acuerdo a la evaluación de los indicadores a cargo del p</w:t>
      </w:r>
      <w:r w:rsidR="009C18C3" w:rsidRPr="00C371A5">
        <w:rPr>
          <w:rFonts w:ascii="Arial" w:hAnsi="Arial" w:cs="Arial"/>
        </w:rPr>
        <w:t>rograma No. 2</w:t>
      </w:r>
      <w:r w:rsidRPr="00C371A5">
        <w:rPr>
          <w:rFonts w:ascii="Arial" w:hAnsi="Arial" w:cs="Arial"/>
        </w:rPr>
        <w:t>, se puede concluir que las ventas</w:t>
      </w:r>
      <w:r w:rsidR="00636FBB" w:rsidRPr="00C371A5">
        <w:rPr>
          <w:rFonts w:ascii="Arial" w:hAnsi="Arial" w:cs="Arial"/>
        </w:rPr>
        <w:t xml:space="preserve"> efectivas </w:t>
      </w:r>
      <w:r w:rsidR="00142AB6" w:rsidRPr="00C371A5">
        <w:rPr>
          <w:rFonts w:ascii="Arial" w:hAnsi="Arial" w:cs="Arial"/>
        </w:rPr>
        <w:t>aumentaron en</w:t>
      </w:r>
      <w:r w:rsidR="00636FBB" w:rsidRPr="00C371A5">
        <w:rPr>
          <w:rFonts w:ascii="Arial" w:hAnsi="Arial" w:cs="Arial"/>
        </w:rPr>
        <w:t xml:space="preserve"> ¢ 10.901.979.79 </w:t>
      </w:r>
      <w:r w:rsidR="00142AB6" w:rsidRPr="00C371A5">
        <w:rPr>
          <w:rFonts w:ascii="Arial" w:hAnsi="Arial" w:cs="Arial"/>
        </w:rPr>
        <w:t xml:space="preserve">miles de colones </w:t>
      </w:r>
      <w:r w:rsidR="00636FBB" w:rsidRPr="00C371A5">
        <w:rPr>
          <w:rFonts w:ascii="Arial" w:hAnsi="Arial" w:cs="Arial"/>
        </w:rPr>
        <w:t xml:space="preserve">al compararlo con las ventas efectivas </w:t>
      </w:r>
      <w:r w:rsidR="00CB3ED6" w:rsidRPr="00C371A5">
        <w:rPr>
          <w:rFonts w:ascii="Arial" w:hAnsi="Arial" w:cs="Arial"/>
        </w:rPr>
        <w:t xml:space="preserve">del mismo </w:t>
      </w:r>
      <w:r w:rsidR="00636FBB" w:rsidRPr="00C371A5">
        <w:rPr>
          <w:rFonts w:ascii="Arial" w:hAnsi="Arial" w:cs="Arial"/>
        </w:rPr>
        <w:t xml:space="preserve">periodo del 2012, lo que en términos porcentuales representa un aumento del 6.19%.  </w:t>
      </w:r>
    </w:p>
    <w:p w:rsidR="009C18C3" w:rsidRPr="00C371A5" w:rsidRDefault="009C18C3" w:rsidP="00560485">
      <w:pPr>
        <w:jc w:val="both"/>
        <w:rPr>
          <w:rFonts w:ascii="Arial" w:hAnsi="Arial" w:cs="Arial"/>
        </w:rPr>
      </w:pPr>
    </w:p>
    <w:p w:rsidR="009C18C3" w:rsidRPr="00C371A5" w:rsidRDefault="00EC69CF" w:rsidP="009C18C3">
      <w:pPr>
        <w:jc w:val="both"/>
        <w:rPr>
          <w:rFonts w:ascii="Arial" w:hAnsi="Arial" w:cs="Arial"/>
        </w:rPr>
      </w:pPr>
      <w:r w:rsidRPr="00C371A5">
        <w:rPr>
          <w:rFonts w:ascii="Arial" w:hAnsi="Arial" w:cs="Arial"/>
        </w:rPr>
        <w:t xml:space="preserve">En lo que </w:t>
      </w:r>
      <w:r w:rsidR="007D615B" w:rsidRPr="00C371A5">
        <w:rPr>
          <w:rFonts w:ascii="Arial" w:hAnsi="Arial" w:cs="Arial"/>
        </w:rPr>
        <w:t xml:space="preserve">respecta a los indicadores correspondientes </w:t>
      </w:r>
      <w:r w:rsidR="0082440B" w:rsidRPr="00C371A5">
        <w:rPr>
          <w:rFonts w:ascii="Arial" w:hAnsi="Arial" w:cs="Arial"/>
        </w:rPr>
        <w:t xml:space="preserve">a </w:t>
      </w:r>
      <w:r w:rsidR="007D615B" w:rsidRPr="00C371A5">
        <w:rPr>
          <w:rFonts w:ascii="Arial" w:hAnsi="Arial" w:cs="Arial"/>
        </w:rPr>
        <w:t xml:space="preserve">utilidades asignados al </w:t>
      </w:r>
      <w:r w:rsidR="00875FCE" w:rsidRPr="00C371A5">
        <w:rPr>
          <w:rFonts w:ascii="Arial" w:hAnsi="Arial" w:cs="Arial"/>
        </w:rPr>
        <w:t>Programa No. 1</w:t>
      </w:r>
      <w:r w:rsidR="0082440B" w:rsidRPr="00C371A5">
        <w:rPr>
          <w:rFonts w:ascii="Arial" w:hAnsi="Arial" w:cs="Arial"/>
        </w:rPr>
        <w:t>, se tiene que</w:t>
      </w:r>
      <w:r w:rsidR="009C18C3" w:rsidRPr="00C371A5">
        <w:rPr>
          <w:rFonts w:ascii="Arial" w:hAnsi="Arial" w:cs="Arial"/>
        </w:rPr>
        <w:t xml:space="preserve"> para el logro de los objetivos estratégicos asignados al mismo, se debe destacar que</w:t>
      </w:r>
      <w:r w:rsidR="00915499" w:rsidRPr="00C371A5">
        <w:rPr>
          <w:rFonts w:ascii="Arial" w:hAnsi="Arial" w:cs="Arial"/>
        </w:rPr>
        <w:t xml:space="preserve"> respecto a la distribución y venta de la lotería,</w:t>
      </w:r>
      <w:r w:rsidR="009C18C3" w:rsidRPr="00C371A5">
        <w:rPr>
          <w:rFonts w:ascii="Arial" w:hAnsi="Arial" w:cs="Arial"/>
        </w:rPr>
        <w:t xml:space="preserve"> se obtuvo un incremento en las utilidades netas después de impuestos comparadas con las del período anterior, donde en el período 2012 fue del 15.56% y en el período actual 2013 se alcanzó el 17.25%, lo que representa un aumento de casi un 2% en las utilidades.</w:t>
      </w:r>
    </w:p>
    <w:p w:rsidR="008E5A8B" w:rsidRPr="00C371A5" w:rsidRDefault="008E5A8B" w:rsidP="009C18C3">
      <w:pPr>
        <w:jc w:val="both"/>
        <w:rPr>
          <w:rFonts w:ascii="Arial" w:hAnsi="Arial" w:cs="Arial"/>
        </w:rPr>
      </w:pPr>
    </w:p>
    <w:p w:rsidR="00BB3E78" w:rsidRPr="00C371A5" w:rsidRDefault="00073D4B" w:rsidP="00BB3E78">
      <w:pPr>
        <w:jc w:val="both"/>
        <w:rPr>
          <w:rFonts w:ascii="Arial" w:hAnsi="Arial" w:cs="Arial"/>
        </w:rPr>
      </w:pPr>
      <w:r w:rsidRPr="00C371A5">
        <w:rPr>
          <w:rFonts w:ascii="Arial" w:hAnsi="Arial" w:cs="Arial"/>
        </w:rPr>
        <w:t xml:space="preserve">Por su parte los indicadores correspondientes a la trasferencia de recursos, asignados al </w:t>
      </w:r>
      <w:r w:rsidR="00562684" w:rsidRPr="00C371A5">
        <w:rPr>
          <w:rFonts w:ascii="Arial" w:hAnsi="Arial" w:cs="Arial"/>
        </w:rPr>
        <w:t>Programa No. 4</w:t>
      </w:r>
      <w:r w:rsidR="0013434F" w:rsidRPr="00C371A5">
        <w:rPr>
          <w:rFonts w:ascii="Arial" w:hAnsi="Arial" w:cs="Arial"/>
        </w:rPr>
        <w:t xml:space="preserve"> y t</w:t>
      </w:r>
      <w:r w:rsidR="00BB3E78" w:rsidRPr="00C371A5">
        <w:rPr>
          <w:rFonts w:ascii="Arial" w:hAnsi="Arial" w:cs="Arial"/>
        </w:rPr>
        <w:t xml:space="preserve">omando en consideración los objetivos estratégicos planteados en el área social, de las utilidades proyectadas para el año terminado del 2013 que ascienden a ¢29.774.798.068, distribuidos en los diferentes programas que se autorizan en el artículo 8 de la Ley 8718, efectivamente se giró un monto de ¢25.904.616.262, que representa un 87% de cumplimiento de las metas </w:t>
      </w:r>
    </w:p>
    <w:p w:rsidR="00BB3E78" w:rsidRPr="00C371A5" w:rsidRDefault="00BB3E78" w:rsidP="00BB3E78">
      <w:pPr>
        <w:jc w:val="both"/>
        <w:rPr>
          <w:rFonts w:ascii="Arial" w:hAnsi="Arial" w:cs="Arial"/>
        </w:rPr>
      </w:pPr>
    </w:p>
    <w:p w:rsidR="00BB3E78" w:rsidRPr="00C371A5" w:rsidRDefault="00BB3E78" w:rsidP="00BB3E78">
      <w:pPr>
        <w:jc w:val="both"/>
        <w:rPr>
          <w:rFonts w:ascii="Arial" w:hAnsi="Arial" w:cs="Arial"/>
        </w:rPr>
      </w:pPr>
      <w:r w:rsidRPr="00C371A5">
        <w:rPr>
          <w:rFonts w:ascii="Arial" w:hAnsi="Arial" w:cs="Arial"/>
        </w:rPr>
        <w:t>Es importante destacar que las utilidades pendientes de realizar el respectivo giro, se encuentran debidamente asignadas a diferentes organizaciones y programas y que serán incorporadas dentro de la modificación presupuestaria correspondiente del año 2014, conforme los procedimientos vigentes.</w:t>
      </w:r>
    </w:p>
    <w:p w:rsidR="00BB3E78" w:rsidRPr="00C371A5" w:rsidRDefault="00BB3E78" w:rsidP="00BB3E78">
      <w:pPr>
        <w:jc w:val="both"/>
        <w:rPr>
          <w:rFonts w:ascii="Arial" w:hAnsi="Arial" w:cs="Arial"/>
        </w:rPr>
      </w:pPr>
    </w:p>
    <w:p w:rsidR="007E0DF5" w:rsidRPr="00C371A5" w:rsidRDefault="0013434F" w:rsidP="00560485">
      <w:pPr>
        <w:jc w:val="both"/>
        <w:rPr>
          <w:rFonts w:ascii="Arial" w:hAnsi="Arial" w:cs="Arial"/>
        </w:rPr>
      </w:pPr>
      <w:r w:rsidRPr="00C371A5">
        <w:rPr>
          <w:rFonts w:ascii="Arial" w:hAnsi="Arial" w:cs="Arial"/>
        </w:rPr>
        <w:t>Además, los indicadores planteados al p</w:t>
      </w:r>
      <w:r w:rsidR="00B81454" w:rsidRPr="00C371A5">
        <w:rPr>
          <w:rFonts w:ascii="Arial" w:hAnsi="Arial" w:cs="Arial"/>
        </w:rPr>
        <w:t>rograma No. 3</w:t>
      </w:r>
      <w:r w:rsidR="008D4042" w:rsidRPr="00C371A5">
        <w:rPr>
          <w:rFonts w:ascii="Arial" w:hAnsi="Arial" w:cs="Arial"/>
        </w:rPr>
        <w:t xml:space="preserve">, </w:t>
      </w:r>
      <w:r w:rsidR="007E0DF5" w:rsidRPr="00C371A5">
        <w:rPr>
          <w:rFonts w:ascii="Arial" w:hAnsi="Arial" w:cs="Arial"/>
        </w:rPr>
        <w:t>se comportaron de conforme a lo</w:t>
      </w:r>
      <w:r w:rsidR="00C77CC0" w:rsidRPr="00C371A5">
        <w:rPr>
          <w:rFonts w:ascii="Arial" w:hAnsi="Arial" w:cs="Arial"/>
        </w:rPr>
        <w:t xml:space="preserve"> </w:t>
      </w:r>
      <w:r w:rsidR="0082319B" w:rsidRPr="00C371A5">
        <w:rPr>
          <w:rFonts w:ascii="Arial" w:hAnsi="Arial" w:cs="Arial"/>
        </w:rPr>
        <w:t>formula</w:t>
      </w:r>
      <w:r w:rsidR="00C77CC0" w:rsidRPr="00C371A5">
        <w:rPr>
          <w:rFonts w:ascii="Arial" w:hAnsi="Arial" w:cs="Arial"/>
        </w:rPr>
        <w:t>do en las metas</w:t>
      </w:r>
      <w:r w:rsidR="0082319B" w:rsidRPr="00C371A5">
        <w:rPr>
          <w:rFonts w:ascii="Arial" w:hAnsi="Arial" w:cs="Arial"/>
        </w:rPr>
        <w:t xml:space="preserve"> respectivas, superando el porcentaje establecido de 30% para los ingresos del período actual respecto a los del período anterior y el 90%</w:t>
      </w:r>
      <w:r w:rsidR="00C85956" w:rsidRPr="00C371A5">
        <w:rPr>
          <w:rFonts w:ascii="Arial" w:hAnsi="Arial" w:cs="Arial"/>
        </w:rPr>
        <w:t xml:space="preserve"> de clientes encuestados satisfechos del 2013 respecto a los clientes satisfechos del período anterior.</w:t>
      </w:r>
    </w:p>
    <w:p w:rsidR="007912AD" w:rsidRDefault="007912AD" w:rsidP="007912AD">
      <w:pPr>
        <w:jc w:val="center"/>
        <w:rPr>
          <w:rFonts w:ascii="Arial" w:hAnsi="Arial" w:cs="Arial"/>
          <w:b/>
        </w:rPr>
      </w:pPr>
    </w:p>
    <w:p w:rsidR="00166D7F" w:rsidRDefault="00932935" w:rsidP="007912AD">
      <w:pPr>
        <w:jc w:val="both"/>
        <w:rPr>
          <w:rFonts w:ascii="Arial" w:hAnsi="Arial" w:cs="Arial"/>
          <w:sz w:val="22"/>
          <w:szCs w:val="22"/>
        </w:rPr>
      </w:pPr>
      <w:r>
        <w:rPr>
          <w:rFonts w:ascii="Arial" w:hAnsi="Arial" w:cs="Arial"/>
        </w:rPr>
        <w:t>Es importante destacar que, a</w:t>
      </w:r>
      <w:r w:rsidR="007912AD" w:rsidRPr="007912AD">
        <w:rPr>
          <w:rFonts w:ascii="Arial" w:hAnsi="Arial" w:cs="Arial"/>
        </w:rPr>
        <w:t xml:space="preserve"> pesar de que </w:t>
      </w:r>
      <w:r w:rsidR="007912AD" w:rsidRPr="007912AD">
        <w:rPr>
          <w:rFonts w:ascii="Arial" w:hAnsi="Arial" w:cs="Arial"/>
          <w:sz w:val="22"/>
          <w:szCs w:val="22"/>
        </w:rPr>
        <w:t>se obtuvo un incremento en las utilidades netas después de impuestos comparadas con las del período anterior</w:t>
      </w:r>
      <w:r w:rsidR="007912AD">
        <w:rPr>
          <w:rFonts w:ascii="Arial" w:hAnsi="Arial" w:cs="Arial"/>
          <w:sz w:val="22"/>
          <w:szCs w:val="22"/>
        </w:rPr>
        <w:t xml:space="preserve"> de casi un 2% en las utilidades, se debe tener en consideraci</w:t>
      </w:r>
      <w:r w:rsidR="00556E41">
        <w:rPr>
          <w:rFonts w:ascii="Arial" w:hAnsi="Arial" w:cs="Arial"/>
          <w:sz w:val="22"/>
          <w:szCs w:val="22"/>
        </w:rPr>
        <w:t xml:space="preserve">ón </w:t>
      </w:r>
      <w:r w:rsidR="007912AD">
        <w:rPr>
          <w:rFonts w:ascii="Arial" w:hAnsi="Arial" w:cs="Arial"/>
          <w:sz w:val="22"/>
          <w:szCs w:val="22"/>
        </w:rPr>
        <w:t xml:space="preserve">que </w:t>
      </w:r>
      <w:r w:rsidR="00556E41">
        <w:rPr>
          <w:rFonts w:ascii="Arial" w:hAnsi="Arial" w:cs="Arial"/>
          <w:sz w:val="22"/>
          <w:szCs w:val="22"/>
        </w:rPr>
        <w:t>con base en el “Cuadro comparativo para la evaluación POI 2012-2013”que se presenta en este informe, lo no distribuido aumentó en 47,61%, la devolución aumentó en 54,21</w:t>
      </w:r>
      <w:r w:rsidR="00166D7F">
        <w:rPr>
          <w:rFonts w:ascii="Arial" w:hAnsi="Arial" w:cs="Arial"/>
          <w:sz w:val="22"/>
          <w:szCs w:val="22"/>
        </w:rPr>
        <w:t xml:space="preserve">%, así como el aumento de los premios </w:t>
      </w:r>
      <w:r w:rsidR="00DE75EB">
        <w:rPr>
          <w:rFonts w:ascii="Arial" w:hAnsi="Arial" w:cs="Arial"/>
          <w:sz w:val="22"/>
          <w:szCs w:val="22"/>
        </w:rPr>
        <w:t xml:space="preserve">no </w:t>
      </w:r>
      <w:r w:rsidR="00166D7F">
        <w:rPr>
          <w:rFonts w:ascii="Arial" w:hAnsi="Arial" w:cs="Arial"/>
          <w:sz w:val="22"/>
          <w:szCs w:val="22"/>
        </w:rPr>
        <w:t>cambiados de 2778.38%</w:t>
      </w:r>
      <w:r w:rsidR="00DE75EB">
        <w:rPr>
          <w:rFonts w:ascii="Arial" w:hAnsi="Arial" w:cs="Arial"/>
          <w:sz w:val="22"/>
          <w:szCs w:val="22"/>
        </w:rPr>
        <w:t xml:space="preserve"> debido a los premios que los consumidores no cambian y por la lotería no retirada o devuelta, situaciones que si no se controlan podrían repercutir de forma negativa en las utilidades en caso de tener un comportamiento diferente al de este período</w:t>
      </w:r>
      <w:r w:rsidR="007C2A9F">
        <w:rPr>
          <w:rFonts w:ascii="Arial" w:hAnsi="Arial" w:cs="Arial"/>
          <w:sz w:val="22"/>
          <w:szCs w:val="22"/>
        </w:rPr>
        <w:t xml:space="preserve"> y afectar la transferencia a los acreedores de las rentas de las loterías.</w:t>
      </w:r>
    </w:p>
    <w:p w:rsidR="00F51AC5" w:rsidRDefault="00F51AC5" w:rsidP="007912AD">
      <w:pPr>
        <w:jc w:val="both"/>
        <w:rPr>
          <w:rFonts w:ascii="Arial" w:hAnsi="Arial" w:cs="Arial"/>
          <w:sz w:val="22"/>
          <w:szCs w:val="22"/>
        </w:rPr>
      </w:pPr>
    </w:p>
    <w:p w:rsidR="00F51AC5" w:rsidRPr="007912AD" w:rsidRDefault="00F51AC5" w:rsidP="007912AD">
      <w:pPr>
        <w:jc w:val="both"/>
        <w:rPr>
          <w:rFonts w:ascii="Arial" w:hAnsi="Arial" w:cs="Arial"/>
          <w:sz w:val="22"/>
          <w:szCs w:val="22"/>
        </w:rPr>
      </w:pPr>
      <w:r>
        <w:rPr>
          <w:rFonts w:ascii="Arial" w:hAnsi="Arial" w:cs="Arial"/>
          <w:sz w:val="22"/>
          <w:szCs w:val="22"/>
        </w:rPr>
        <w:t>Por lo anterior, se debe considerar sobre todo el monitoreo continuo al comportamiento de los factores mencionados anteriormente</w:t>
      </w:r>
      <w:r w:rsidR="00AD2907">
        <w:rPr>
          <w:rFonts w:ascii="Arial" w:hAnsi="Arial" w:cs="Arial"/>
          <w:sz w:val="22"/>
          <w:szCs w:val="22"/>
        </w:rPr>
        <w:t xml:space="preserve"> por parte de las Gerencias de </w:t>
      </w:r>
      <w:r w:rsidR="003E6644">
        <w:rPr>
          <w:rFonts w:ascii="Arial" w:hAnsi="Arial" w:cs="Arial"/>
          <w:sz w:val="22"/>
          <w:szCs w:val="22"/>
        </w:rPr>
        <w:t>Área involuc</w:t>
      </w:r>
      <w:r w:rsidR="00AD2907">
        <w:rPr>
          <w:rFonts w:ascii="Arial" w:hAnsi="Arial" w:cs="Arial"/>
          <w:sz w:val="22"/>
          <w:szCs w:val="22"/>
        </w:rPr>
        <w:t>radas</w:t>
      </w:r>
      <w:r>
        <w:rPr>
          <w:rFonts w:ascii="Arial" w:hAnsi="Arial" w:cs="Arial"/>
          <w:sz w:val="22"/>
          <w:szCs w:val="22"/>
        </w:rPr>
        <w:t>, de tal forma que las ventas y sobre todo las utilidades no corran riesgo de disminuir.</w:t>
      </w:r>
    </w:p>
    <w:p w:rsidR="007912AD" w:rsidRDefault="007912AD" w:rsidP="007912AD">
      <w:pPr>
        <w:jc w:val="both"/>
        <w:rPr>
          <w:rFonts w:ascii="Arial" w:hAnsi="Arial" w:cs="Arial"/>
        </w:rPr>
      </w:pPr>
    </w:p>
    <w:p w:rsidR="00E277B1" w:rsidRPr="007912AD" w:rsidRDefault="00ED52C0" w:rsidP="00B364A0">
      <w:pPr>
        <w:jc w:val="both"/>
        <w:rPr>
          <w:rFonts w:ascii="Arial" w:hAnsi="Arial" w:cs="Arial"/>
          <w:color w:val="000000" w:themeColor="text1"/>
          <w:sz w:val="22"/>
          <w:szCs w:val="22"/>
          <w:lang w:val="es-CR"/>
        </w:rPr>
      </w:pPr>
      <w:r>
        <w:rPr>
          <w:rFonts w:ascii="Arial" w:hAnsi="Arial" w:cs="Arial"/>
          <w:color w:val="000000" w:themeColor="text1"/>
          <w:sz w:val="22"/>
          <w:szCs w:val="22"/>
          <w:lang w:val="es-CR"/>
        </w:rPr>
        <w:t>Este</w:t>
      </w:r>
      <w:r w:rsidR="00B364A0" w:rsidRPr="007912AD">
        <w:rPr>
          <w:rFonts w:ascii="Arial" w:hAnsi="Arial" w:cs="Arial"/>
          <w:color w:val="000000" w:themeColor="text1"/>
          <w:sz w:val="22"/>
          <w:szCs w:val="22"/>
          <w:lang w:val="es-CR"/>
        </w:rPr>
        <w:t xml:space="preserve"> documento </w:t>
      </w:r>
      <w:r w:rsidR="00D62F1A" w:rsidRPr="007912AD">
        <w:rPr>
          <w:rFonts w:ascii="Arial" w:hAnsi="Arial" w:cs="Arial"/>
          <w:color w:val="000000" w:themeColor="text1"/>
          <w:sz w:val="22"/>
          <w:szCs w:val="22"/>
          <w:lang w:val="es-CR"/>
        </w:rPr>
        <w:t>corresponde a la</w:t>
      </w:r>
      <w:r w:rsidR="00B364A0" w:rsidRPr="007912AD">
        <w:rPr>
          <w:rFonts w:ascii="Arial" w:hAnsi="Arial" w:cs="Arial"/>
          <w:color w:val="000000" w:themeColor="text1"/>
          <w:sz w:val="22"/>
          <w:szCs w:val="22"/>
          <w:lang w:val="es-CR"/>
        </w:rPr>
        <w:t xml:space="preserve"> información suministrada por los responsables de los indicadores incluidos en el mismo, así como </w:t>
      </w:r>
      <w:r w:rsidR="00D62F1A" w:rsidRPr="007912AD">
        <w:rPr>
          <w:rFonts w:ascii="Arial" w:hAnsi="Arial" w:cs="Arial"/>
          <w:color w:val="000000" w:themeColor="text1"/>
          <w:sz w:val="22"/>
          <w:szCs w:val="22"/>
          <w:lang w:val="es-CR"/>
        </w:rPr>
        <w:t>producto de la</w:t>
      </w:r>
      <w:r w:rsidR="000B5847" w:rsidRPr="007912AD">
        <w:rPr>
          <w:rFonts w:ascii="Arial" w:hAnsi="Arial" w:cs="Arial"/>
          <w:color w:val="000000" w:themeColor="text1"/>
          <w:sz w:val="22"/>
          <w:szCs w:val="22"/>
          <w:lang w:val="es-CR"/>
        </w:rPr>
        <w:t xml:space="preserve"> </w:t>
      </w:r>
      <w:r w:rsidR="00F51AC5">
        <w:rPr>
          <w:rFonts w:ascii="Arial" w:hAnsi="Arial" w:cs="Arial"/>
          <w:color w:val="000000" w:themeColor="text1"/>
          <w:sz w:val="22"/>
          <w:szCs w:val="22"/>
          <w:lang w:val="es-CR"/>
        </w:rPr>
        <w:t>Asesoría brindada, la revisión,</w:t>
      </w:r>
      <w:r w:rsidR="000B5847" w:rsidRPr="007912AD">
        <w:rPr>
          <w:rFonts w:ascii="Arial" w:hAnsi="Arial" w:cs="Arial"/>
          <w:color w:val="000000" w:themeColor="text1"/>
          <w:sz w:val="22"/>
          <w:szCs w:val="22"/>
          <w:lang w:val="es-CR"/>
        </w:rPr>
        <w:t xml:space="preserve"> la </w:t>
      </w:r>
      <w:r w:rsidR="00B364A0" w:rsidRPr="007912AD">
        <w:rPr>
          <w:rFonts w:ascii="Arial" w:hAnsi="Arial" w:cs="Arial"/>
          <w:color w:val="000000" w:themeColor="text1"/>
          <w:sz w:val="22"/>
          <w:szCs w:val="22"/>
          <w:lang w:val="es-CR"/>
        </w:rPr>
        <w:t xml:space="preserve">integración de </w:t>
      </w:r>
      <w:r w:rsidR="000B5847" w:rsidRPr="007912AD">
        <w:rPr>
          <w:rFonts w:ascii="Arial" w:hAnsi="Arial" w:cs="Arial"/>
          <w:color w:val="000000" w:themeColor="text1"/>
          <w:sz w:val="22"/>
          <w:szCs w:val="22"/>
          <w:lang w:val="es-CR"/>
        </w:rPr>
        <w:t>los insumos</w:t>
      </w:r>
      <w:r w:rsidR="00F51AC5">
        <w:rPr>
          <w:rFonts w:ascii="Arial" w:hAnsi="Arial" w:cs="Arial"/>
          <w:color w:val="000000" w:themeColor="text1"/>
          <w:sz w:val="22"/>
          <w:szCs w:val="22"/>
          <w:lang w:val="es-CR"/>
        </w:rPr>
        <w:t xml:space="preserve"> y la conclusión</w:t>
      </w:r>
      <w:r w:rsidR="00B364A0" w:rsidRPr="007912AD">
        <w:rPr>
          <w:rFonts w:ascii="Arial" w:hAnsi="Arial" w:cs="Arial"/>
          <w:color w:val="000000" w:themeColor="text1"/>
          <w:sz w:val="22"/>
          <w:szCs w:val="22"/>
          <w:lang w:val="es-CR"/>
        </w:rPr>
        <w:t xml:space="preserve"> por parte del equipo </w:t>
      </w:r>
      <w:r w:rsidR="00082B59" w:rsidRPr="007912AD">
        <w:rPr>
          <w:rFonts w:ascii="Arial" w:hAnsi="Arial" w:cs="Arial"/>
          <w:color w:val="000000" w:themeColor="text1"/>
          <w:sz w:val="22"/>
          <w:szCs w:val="22"/>
          <w:lang w:val="es-CR"/>
        </w:rPr>
        <w:t>de profesionales en</w:t>
      </w:r>
      <w:r w:rsidR="00B364A0" w:rsidRPr="007912AD">
        <w:rPr>
          <w:rFonts w:ascii="Arial" w:hAnsi="Arial" w:cs="Arial"/>
          <w:color w:val="000000" w:themeColor="text1"/>
          <w:sz w:val="22"/>
          <w:szCs w:val="22"/>
          <w:lang w:val="es-CR"/>
        </w:rPr>
        <w:t xml:space="preserve"> Planificación Institucional.</w:t>
      </w:r>
    </w:p>
    <w:p w:rsidR="00B364A0" w:rsidRDefault="00B364A0" w:rsidP="00B364A0">
      <w:pPr>
        <w:jc w:val="both"/>
        <w:rPr>
          <w:rFonts w:ascii="Arial" w:hAnsi="Arial" w:cs="Arial"/>
          <w:color w:val="000000" w:themeColor="text1"/>
          <w:sz w:val="22"/>
          <w:szCs w:val="22"/>
        </w:rPr>
      </w:pPr>
    </w:p>
    <w:p w:rsidR="009A0747" w:rsidRPr="009B12FF" w:rsidRDefault="009A0747" w:rsidP="00B364A0">
      <w:pPr>
        <w:jc w:val="both"/>
        <w:rPr>
          <w:rFonts w:ascii="Arial" w:hAnsi="Arial" w:cs="Arial"/>
          <w:color w:val="000000" w:themeColor="text1"/>
          <w:sz w:val="22"/>
          <w:szCs w:val="22"/>
        </w:rPr>
      </w:pPr>
    </w:p>
    <w:tbl>
      <w:tblPr>
        <w:tblW w:w="9549" w:type="dxa"/>
        <w:tblBorders>
          <w:insideH w:val="single" w:sz="4" w:space="0" w:color="auto"/>
        </w:tblBorders>
        <w:tblLook w:val="01E0" w:firstRow="1" w:lastRow="1" w:firstColumn="1" w:lastColumn="1" w:noHBand="0" w:noVBand="0"/>
      </w:tblPr>
      <w:tblGrid>
        <w:gridCol w:w="8863"/>
        <w:gridCol w:w="222"/>
        <w:gridCol w:w="464"/>
      </w:tblGrid>
      <w:tr w:rsidR="00B364A0" w:rsidRPr="00881DDC" w:rsidTr="00C07542">
        <w:trPr>
          <w:trHeight w:val="1607"/>
        </w:trPr>
        <w:tc>
          <w:tcPr>
            <w:tcW w:w="8046" w:type="dxa"/>
          </w:tcPr>
          <w:p w:rsidR="00D26C5B" w:rsidRDefault="00B364A0" w:rsidP="00270751">
            <w:pPr>
              <w:pStyle w:val="Textoindependiente2"/>
              <w:spacing w:line="240" w:lineRule="auto"/>
              <w:jc w:val="center"/>
              <w:rPr>
                <w:rFonts w:ascii="Arial" w:hAnsi="Arial" w:cs="Arial"/>
                <w:color w:val="000000" w:themeColor="text1"/>
                <w:sz w:val="22"/>
                <w:szCs w:val="22"/>
              </w:rPr>
            </w:pPr>
            <w:r w:rsidRPr="009B12FF">
              <w:rPr>
                <w:rFonts w:ascii="Arial" w:hAnsi="Arial" w:cs="Arial"/>
                <w:color w:val="000000" w:themeColor="text1"/>
                <w:sz w:val="22"/>
                <w:szCs w:val="22"/>
              </w:rPr>
              <w:t>Elaborado por:</w:t>
            </w:r>
            <w:r w:rsidR="006335A6">
              <w:rPr>
                <w:rFonts w:ascii="Arial" w:hAnsi="Arial" w:cs="Arial"/>
                <w:color w:val="000000" w:themeColor="text1"/>
                <w:sz w:val="22"/>
                <w:szCs w:val="22"/>
              </w:rPr>
              <w:t xml:space="preserve">      </w:t>
            </w:r>
          </w:p>
          <w:p w:rsidR="00D26C5B" w:rsidRDefault="00D26C5B" w:rsidP="00270751">
            <w:pPr>
              <w:pStyle w:val="Textoindependiente2"/>
              <w:spacing w:line="240" w:lineRule="auto"/>
              <w:jc w:val="center"/>
              <w:rPr>
                <w:rFonts w:ascii="Arial" w:hAnsi="Arial" w:cs="Arial"/>
                <w:color w:val="000000" w:themeColor="text1"/>
                <w:sz w:val="22"/>
                <w:szCs w:val="22"/>
              </w:rPr>
            </w:pPr>
          </w:p>
          <w:p w:rsidR="009A0747" w:rsidRDefault="009A0747" w:rsidP="00270751">
            <w:pPr>
              <w:pStyle w:val="Textoindependiente2"/>
              <w:spacing w:line="240" w:lineRule="auto"/>
              <w:jc w:val="center"/>
              <w:rPr>
                <w:rFonts w:ascii="Arial" w:hAnsi="Arial" w:cs="Arial"/>
                <w:color w:val="000000" w:themeColor="text1"/>
                <w:sz w:val="22"/>
                <w:szCs w:val="22"/>
              </w:rPr>
            </w:pPr>
          </w:p>
          <w:p w:rsidR="00B364A0" w:rsidRPr="009B12FF" w:rsidRDefault="006335A6" w:rsidP="00270751">
            <w:pPr>
              <w:pStyle w:val="Textoindependiente2"/>
              <w:spacing w:line="240" w:lineRule="auto"/>
              <w:jc w:val="center"/>
              <w:rPr>
                <w:rFonts w:ascii="Arial" w:hAnsi="Arial" w:cs="Arial"/>
                <w:color w:val="000000" w:themeColor="text1"/>
                <w:sz w:val="22"/>
                <w:szCs w:val="22"/>
              </w:rPr>
            </w:pPr>
            <w:r>
              <w:rPr>
                <w:rFonts w:ascii="Arial" w:hAnsi="Arial" w:cs="Arial"/>
                <w:color w:val="000000" w:themeColor="text1"/>
                <w:sz w:val="22"/>
                <w:szCs w:val="22"/>
              </w:rPr>
              <w:t xml:space="preserve">                  </w:t>
            </w:r>
          </w:p>
          <w:tbl>
            <w:tblPr>
              <w:tblStyle w:val="Tablaconcuadrcula"/>
              <w:tblW w:w="7654" w:type="dxa"/>
              <w:tblInd w:w="993" w:type="dxa"/>
              <w:tblLook w:val="04A0" w:firstRow="1" w:lastRow="0" w:firstColumn="1" w:lastColumn="0" w:noHBand="0" w:noVBand="1"/>
            </w:tblPr>
            <w:tblGrid>
              <w:gridCol w:w="3397"/>
              <w:gridCol w:w="284"/>
              <w:gridCol w:w="3973"/>
            </w:tblGrid>
            <w:tr w:rsidR="00C07542" w:rsidRPr="004B425B" w:rsidTr="004B425B">
              <w:trPr>
                <w:trHeight w:val="170"/>
              </w:trPr>
              <w:tc>
                <w:tcPr>
                  <w:tcW w:w="3397" w:type="dxa"/>
                  <w:tcBorders>
                    <w:left w:val="nil"/>
                    <w:bottom w:val="nil"/>
                    <w:right w:val="nil"/>
                  </w:tcBorders>
                </w:tcPr>
                <w:p w:rsidR="006335A6" w:rsidRPr="00FB0F00" w:rsidRDefault="00DB44FC" w:rsidP="004B425B">
                  <w:pPr>
                    <w:pStyle w:val="Textoindependiente2"/>
                    <w:spacing w:after="0" w:line="240" w:lineRule="auto"/>
                    <w:jc w:val="center"/>
                    <w:rPr>
                      <w:rFonts w:ascii="Arial" w:hAnsi="Arial" w:cs="Arial"/>
                      <w:color w:val="000000" w:themeColor="text1"/>
                      <w:sz w:val="22"/>
                      <w:szCs w:val="22"/>
                      <w:lang w:val="es-CR"/>
                    </w:rPr>
                  </w:pPr>
                  <w:r w:rsidRPr="00FB0F00">
                    <w:rPr>
                      <w:rFonts w:ascii="Arial" w:hAnsi="Arial" w:cs="Arial"/>
                      <w:color w:val="000000" w:themeColor="text1"/>
                      <w:sz w:val="22"/>
                      <w:szCs w:val="22"/>
                      <w:lang w:val="es-CR"/>
                    </w:rPr>
                    <w:t>Licda. Lucrecia Jiménez Segura</w:t>
                  </w:r>
                </w:p>
              </w:tc>
              <w:tc>
                <w:tcPr>
                  <w:tcW w:w="284" w:type="dxa"/>
                  <w:tcBorders>
                    <w:top w:val="nil"/>
                    <w:left w:val="nil"/>
                    <w:bottom w:val="nil"/>
                    <w:right w:val="nil"/>
                  </w:tcBorders>
                </w:tcPr>
                <w:p w:rsidR="006335A6" w:rsidRPr="00FB0F00" w:rsidRDefault="006335A6" w:rsidP="004B425B">
                  <w:pPr>
                    <w:pStyle w:val="Textoindependiente2"/>
                    <w:spacing w:after="0" w:line="240" w:lineRule="auto"/>
                    <w:jc w:val="center"/>
                    <w:rPr>
                      <w:rFonts w:ascii="Arial" w:hAnsi="Arial" w:cs="Arial"/>
                      <w:color w:val="000000" w:themeColor="text1"/>
                      <w:sz w:val="22"/>
                      <w:szCs w:val="22"/>
                      <w:lang w:val="es-CR"/>
                    </w:rPr>
                  </w:pPr>
                </w:p>
              </w:tc>
              <w:tc>
                <w:tcPr>
                  <w:tcW w:w="3973" w:type="dxa"/>
                  <w:tcBorders>
                    <w:left w:val="nil"/>
                    <w:bottom w:val="nil"/>
                    <w:right w:val="nil"/>
                  </w:tcBorders>
                </w:tcPr>
                <w:p w:rsidR="006335A6" w:rsidRPr="00FB0F00" w:rsidRDefault="00DB44FC" w:rsidP="004B425B">
                  <w:pPr>
                    <w:pStyle w:val="Textoindependiente2"/>
                    <w:spacing w:after="0" w:line="240" w:lineRule="auto"/>
                    <w:jc w:val="center"/>
                    <w:rPr>
                      <w:rFonts w:ascii="Arial" w:hAnsi="Arial" w:cs="Arial"/>
                      <w:color w:val="000000" w:themeColor="text1"/>
                      <w:sz w:val="22"/>
                      <w:szCs w:val="22"/>
                      <w:lang w:val="es-CR"/>
                    </w:rPr>
                  </w:pPr>
                  <w:r w:rsidRPr="00FB0F00">
                    <w:rPr>
                      <w:rFonts w:ascii="Arial" w:hAnsi="Arial" w:cs="Arial"/>
                      <w:color w:val="000000" w:themeColor="text1"/>
                      <w:sz w:val="22"/>
                      <w:szCs w:val="22"/>
                      <w:lang w:val="es-CR"/>
                    </w:rPr>
                    <w:t>Licda. Olga Narváez Quesada</w:t>
                  </w:r>
                </w:p>
              </w:tc>
            </w:tr>
            <w:tr w:rsidR="00C07542" w:rsidRPr="004B425B" w:rsidTr="004B425B">
              <w:tc>
                <w:tcPr>
                  <w:tcW w:w="3397" w:type="dxa"/>
                  <w:tcBorders>
                    <w:top w:val="nil"/>
                    <w:left w:val="nil"/>
                    <w:bottom w:val="nil"/>
                    <w:right w:val="nil"/>
                  </w:tcBorders>
                </w:tcPr>
                <w:p w:rsidR="006335A6" w:rsidRPr="00FB0F00" w:rsidRDefault="00DB44FC" w:rsidP="004B425B">
                  <w:pPr>
                    <w:pStyle w:val="Textoindependiente2"/>
                    <w:spacing w:after="0" w:line="240" w:lineRule="auto"/>
                    <w:jc w:val="center"/>
                    <w:rPr>
                      <w:rFonts w:ascii="Arial" w:hAnsi="Arial" w:cs="Arial"/>
                      <w:b/>
                      <w:color w:val="000000" w:themeColor="text1"/>
                      <w:sz w:val="22"/>
                      <w:szCs w:val="22"/>
                      <w:lang w:val="es-CR"/>
                    </w:rPr>
                  </w:pPr>
                  <w:r w:rsidRPr="00FB0F00">
                    <w:rPr>
                      <w:rFonts w:ascii="Arial" w:hAnsi="Arial" w:cs="Arial"/>
                      <w:b/>
                      <w:color w:val="000000" w:themeColor="text1"/>
                      <w:sz w:val="22"/>
                      <w:szCs w:val="22"/>
                      <w:lang w:val="es-CR"/>
                    </w:rPr>
                    <w:t xml:space="preserve">Profesional </w:t>
                  </w:r>
                </w:p>
              </w:tc>
              <w:tc>
                <w:tcPr>
                  <w:tcW w:w="284" w:type="dxa"/>
                  <w:tcBorders>
                    <w:top w:val="nil"/>
                    <w:left w:val="nil"/>
                    <w:bottom w:val="nil"/>
                    <w:right w:val="nil"/>
                  </w:tcBorders>
                </w:tcPr>
                <w:p w:rsidR="006335A6" w:rsidRPr="00FB0F00" w:rsidRDefault="006335A6" w:rsidP="004B425B">
                  <w:pPr>
                    <w:pStyle w:val="Textoindependiente2"/>
                    <w:spacing w:after="0" w:line="240" w:lineRule="auto"/>
                    <w:jc w:val="center"/>
                    <w:rPr>
                      <w:rFonts w:ascii="Arial" w:hAnsi="Arial" w:cs="Arial"/>
                      <w:color w:val="000000" w:themeColor="text1"/>
                      <w:sz w:val="22"/>
                      <w:szCs w:val="22"/>
                      <w:lang w:val="es-CR"/>
                    </w:rPr>
                  </w:pPr>
                </w:p>
              </w:tc>
              <w:tc>
                <w:tcPr>
                  <w:tcW w:w="3973" w:type="dxa"/>
                  <w:tcBorders>
                    <w:top w:val="nil"/>
                    <w:left w:val="nil"/>
                    <w:bottom w:val="nil"/>
                    <w:right w:val="nil"/>
                  </w:tcBorders>
                </w:tcPr>
                <w:p w:rsidR="006335A6" w:rsidRPr="00FB0F00" w:rsidRDefault="00D26C5B" w:rsidP="004B425B">
                  <w:pPr>
                    <w:pStyle w:val="Textoindependiente2"/>
                    <w:spacing w:after="0" w:line="240" w:lineRule="auto"/>
                    <w:jc w:val="center"/>
                    <w:rPr>
                      <w:rFonts w:ascii="Arial" w:hAnsi="Arial" w:cs="Arial"/>
                      <w:b/>
                      <w:color w:val="000000" w:themeColor="text1"/>
                      <w:sz w:val="22"/>
                      <w:szCs w:val="22"/>
                      <w:lang w:val="es-CR"/>
                    </w:rPr>
                  </w:pPr>
                  <w:r w:rsidRPr="00FB0F00">
                    <w:rPr>
                      <w:rFonts w:ascii="Arial" w:hAnsi="Arial" w:cs="Arial"/>
                      <w:b/>
                      <w:color w:val="000000" w:themeColor="text1"/>
                      <w:sz w:val="22"/>
                      <w:szCs w:val="22"/>
                      <w:lang w:val="es-CR"/>
                    </w:rPr>
                    <w:t>Profesional</w:t>
                  </w:r>
                </w:p>
              </w:tc>
            </w:tr>
            <w:tr w:rsidR="00C07542" w:rsidRPr="004B425B" w:rsidTr="004B425B">
              <w:tc>
                <w:tcPr>
                  <w:tcW w:w="3397" w:type="dxa"/>
                  <w:tcBorders>
                    <w:top w:val="nil"/>
                    <w:left w:val="nil"/>
                    <w:bottom w:val="nil"/>
                    <w:right w:val="nil"/>
                  </w:tcBorders>
                </w:tcPr>
                <w:p w:rsidR="006335A6" w:rsidRPr="00FB0F00" w:rsidRDefault="00DB44FC" w:rsidP="004B425B">
                  <w:pPr>
                    <w:pStyle w:val="Textoindependiente2"/>
                    <w:spacing w:after="0" w:line="240" w:lineRule="auto"/>
                    <w:jc w:val="center"/>
                    <w:rPr>
                      <w:rFonts w:ascii="Arial" w:hAnsi="Arial" w:cs="Arial"/>
                      <w:color w:val="000000" w:themeColor="text1"/>
                      <w:sz w:val="22"/>
                      <w:szCs w:val="22"/>
                      <w:lang w:val="es-CR"/>
                    </w:rPr>
                  </w:pPr>
                  <w:r w:rsidRPr="00FB0F00">
                    <w:rPr>
                      <w:rFonts w:ascii="Arial" w:hAnsi="Arial" w:cs="Arial"/>
                      <w:color w:val="000000" w:themeColor="text1"/>
                      <w:sz w:val="22"/>
                      <w:szCs w:val="22"/>
                      <w:lang w:val="es-CR"/>
                    </w:rPr>
                    <w:t>Planificación Institucional</w:t>
                  </w:r>
                </w:p>
              </w:tc>
              <w:tc>
                <w:tcPr>
                  <w:tcW w:w="284" w:type="dxa"/>
                  <w:tcBorders>
                    <w:top w:val="nil"/>
                    <w:left w:val="nil"/>
                    <w:bottom w:val="nil"/>
                    <w:right w:val="nil"/>
                  </w:tcBorders>
                </w:tcPr>
                <w:p w:rsidR="006335A6" w:rsidRPr="00FB0F00" w:rsidRDefault="006335A6" w:rsidP="004B425B">
                  <w:pPr>
                    <w:pStyle w:val="Textoindependiente2"/>
                    <w:spacing w:after="0" w:line="240" w:lineRule="auto"/>
                    <w:jc w:val="center"/>
                    <w:rPr>
                      <w:rFonts w:ascii="Arial" w:hAnsi="Arial" w:cs="Arial"/>
                      <w:color w:val="000000" w:themeColor="text1"/>
                      <w:sz w:val="22"/>
                      <w:szCs w:val="22"/>
                      <w:lang w:val="es-CR"/>
                    </w:rPr>
                  </w:pPr>
                </w:p>
              </w:tc>
              <w:tc>
                <w:tcPr>
                  <w:tcW w:w="3973" w:type="dxa"/>
                  <w:tcBorders>
                    <w:top w:val="nil"/>
                    <w:left w:val="nil"/>
                    <w:bottom w:val="nil"/>
                    <w:right w:val="nil"/>
                  </w:tcBorders>
                </w:tcPr>
                <w:p w:rsidR="006335A6" w:rsidRPr="00FB0F00" w:rsidRDefault="00D26C5B" w:rsidP="004B425B">
                  <w:pPr>
                    <w:pStyle w:val="Textoindependiente2"/>
                    <w:spacing w:after="0" w:line="240" w:lineRule="auto"/>
                    <w:jc w:val="center"/>
                    <w:rPr>
                      <w:rFonts w:ascii="Arial" w:hAnsi="Arial" w:cs="Arial"/>
                      <w:color w:val="000000" w:themeColor="text1"/>
                      <w:sz w:val="22"/>
                      <w:szCs w:val="22"/>
                      <w:lang w:val="es-CR"/>
                    </w:rPr>
                  </w:pPr>
                  <w:r w:rsidRPr="00FB0F00">
                    <w:rPr>
                      <w:rFonts w:ascii="Arial" w:hAnsi="Arial" w:cs="Arial"/>
                      <w:color w:val="000000" w:themeColor="text1"/>
                      <w:sz w:val="22"/>
                      <w:szCs w:val="22"/>
                      <w:lang w:val="es-CR"/>
                    </w:rPr>
                    <w:t>Planificación Institucional</w:t>
                  </w:r>
                </w:p>
              </w:tc>
            </w:tr>
          </w:tbl>
          <w:p w:rsidR="00B364A0" w:rsidRDefault="00B364A0" w:rsidP="00270751">
            <w:pPr>
              <w:pStyle w:val="Textoindependiente2"/>
              <w:spacing w:line="240" w:lineRule="auto"/>
              <w:rPr>
                <w:rFonts w:ascii="Arial" w:hAnsi="Arial" w:cs="Arial"/>
                <w:color w:val="000000" w:themeColor="text1"/>
                <w:sz w:val="22"/>
                <w:szCs w:val="22"/>
              </w:rPr>
            </w:pPr>
          </w:p>
          <w:p w:rsidR="009A0747" w:rsidRPr="009B12FF" w:rsidRDefault="009A0747" w:rsidP="00270751">
            <w:pPr>
              <w:pStyle w:val="Textoindependiente2"/>
              <w:spacing w:line="240" w:lineRule="auto"/>
              <w:rPr>
                <w:rFonts w:ascii="Arial" w:hAnsi="Arial" w:cs="Arial"/>
                <w:color w:val="000000" w:themeColor="text1"/>
                <w:sz w:val="22"/>
                <w:szCs w:val="22"/>
              </w:rPr>
            </w:pPr>
          </w:p>
          <w:p w:rsidR="00571CC1" w:rsidRDefault="00063158" w:rsidP="00DB44FC">
            <w:pPr>
              <w:pStyle w:val="Textoindependiente2"/>
              <w:spacing w:after="0" w:line="240" w:lineRule="auto"/>
              <w:jc w:val="center"/>
              <w:rPr>
                <w:rFonts w:ascii="Arial" w:hAnsi="Arial" w:cs="Arial"/>
                <w:color w:val="000000" w:themeColor="text1"/>
                <w:sz w:val="22"/>
                <w:szCs w:val="22"/>
              </w:rPr>
            </w:pPr>
            <w:r w:rsidRPr="00063158">
              <w:rPr>
                <w:rFonts w:ascii="Arial" w:hAnsi="Arial" w:cs="Arial"/>
                <w:color w:val="000000" w:themeColor="text1"/>
                <w:sz w:val="22"/>
                <w:szCs w:val="22"/>
              </w:rPr>
              <w:t>Aprobado por:</w:t>
            </w:r>
          </w:p>
          <w:p w:rsidR="00F91D48" w:rsidRDefault="00F91D48" w:rsidP="00DB44FC">
            <w:pPr>
              <w:pStyle w:val="Textoindependiente2"/>
              <w:spacing w:after="0" w:line="240" w:lineRule="auto"/>
              <w:jc w:val="center"/>
              <w:rPr>
                <w:rFonts w:ascii="Arial" w:hAnsi="Arial" w:cs="Arial"/>
                <w:color w:val="000000" w:themeColor="text1"/>
                <w:sz w:val="22"/>
                <w:szCs w:val="22"/>
              </w:rPr>
            </w:pPr>
          </w:p>
          <w:p w:rsidR="00F91D48" w:rsidRDefault="00F91D48" w:rsidP="00DB44FC">
            <w:pPr>
              <w:pStyle w:val="Textoindependiente2"/>
              <w:spacing w:after="0" w:line="240" w:lineRule="auto"/>
              <w:jc w:val="center"/>
              <w:rPr>
                <w:rFonts w:ascii="Arial" w:hAnsi="Arial" w:cs="Arial"/>
                <w:color w:val="000000" w:themeColor="text1"/>
                <w:sz w:val="22"/>
                <w:szCs w:val="22"/>
              </w:rPr>
            </w:pPr>
          </w:p>
          <w:p w:rsidR="009A0747" w:rsidRDefault="009A0747" w:rsidP="00DB44FC">
            <w:pPr>
              <w:pStyle w:val="Textoindependiente2"/>
              <w:spacing w:after="0" w:line="240" w:lineRule="auto"/>
              <w:jc w:val="center"/>
              <w:rPr>
                <w:rFonts w:ascii="Arial" w:hAnsi="Arial" w:cs="Arial"/>
                <w:color w:val="000000" w:themeColor="text1"/>
                <w:sz w:val="22"/>
                <w:szCs w:val="22"/>
              </w:rPr>
            </w:pPr>
          </w:p>
          <w:p w:rsidR="009A0747" w:rsidRDefault="009A0747" w:rsidP="00DB44FC">
            <w:pPr>
              <w:pStyle w:val="Textoindependiente2"/>
              <w:spacing w:after="0" w:line="240" w:lineRule="auto"/>
              <w:jc w:val="center"/>
              <w:rPr>
                <w:rFonts w:ascii="Arial" w:hAnsi="Arial" w:cs="Arial"/>
                <w:color w:val="000000" w:themeColor="text1"/>
                <w:sz w:val="22"/>
                <w:szCs w:val="22"/>
              </w:rPr>
            </w:pPr>
          </w:p>
          <w:p w:rsidR="00063158" w:rsidRDefault="00063158" w:rsidP="00DB44FC">
            <w:pPr>
              <w:pStyle w:val="Textoindependiente2"/>
              <w:spacing w:after="0" w:line="240" w:lineRule="auto"/>
              <w:jc w:val="center"/>
              <w:rPr>
                <w:rFonts w:ascii="Arial" w:hAnsi="Arial" w:cs="Arial"/>
                <w:color w:val="000000" w:themeColor="text1"/>
                <w:sz w:val="22"/>
                <w:szCs w:val="22"/>
              </w:rPr>
            </w:pPr>
          </w:p>
          <w:tbl>
            <w:tblPr>
              <w:tblStyle w:val="Tablaconcuadrcula"/>
              <w:tblW w:w="7654" w:type="dxa"/>
              <w:tblInd w:w="993" w:type="dxa"/>
              <w:tblLook w:val="04A0" w:firstRow="1" w:lastRow="0" w:firstColumn="1" w:lastColumn="0" w:noHBand="0" w:noVBand="1"/>
            </w:tblPr>
            <w:tblGrid>
              <w:gridCol w:w="1701"/>
              <w:gridCol w:w="4110"/>
              <w:gridCol w:w="1843"/>
            </w:tblGrid>
            <w:tr w:rsidR="00063158" w:rsidTr="00F91D48">
              <w:trPr>
                <w:gridBefore w:val="1"/>
                <w:gridAfter w:val="1"/>
                <w:wBefore w:w="1701" w:type="dxa"/>
                <w:wAfter w:w="1843" w:type="dxa"/>
                <w:trHeight w:val="170"/>
              </w:trPr>
              <w:tc>
                <w:tcPr>
                  <w:tcW w:w="4110" w:type="dxa"/>
                  <w:tcBorders>
                    <w:left w:val="nil"/>
                    <w:bottom w:val="nil"/>
                    <w:right w:val="nil"/>
                  </w:tcBorders>
                </w:tcPr>
                <w:p w:rsidR="00063158" w:rsidRPr="00FB0F00" w:rsidRDefault="00063158" w:rsidP="00F91D48">
                  <w:pPr>
                    <w:pStyle w:val="Textoindependiente2"/>
                    <w:spacing w:after="0" w:line="240" w:lineRule="auto"/>
                    <w:ind w:left="-1525" w:firstLine="1525"/>
                    <w:jc w:val="center"/>
                    <w:rPr>
                      <w:rFonts w:ascii="Arial" w:hAnsi="Arial" w:cs="Arial"/>
                      <w:color w:val="000000" w:themeColor="text1"/>
                      <w:sz w:val="22"/>
                      <w:szCs w:val="22"/>
                      <w:lang w:val="es-CR"/>
                    </w:rPr>
                  </w:pPr>
                  <w:r w:rsidRPr="00FB0F00">
                    <w:rPr>
                      <w:rFonts w:ascii="Arial" w:hAnsi="Arial" w:cs="Arial"/>
                      <w:color w:val="000000" w:themeColor="text1"/>
                      <w:sz w:val="22"/>
                      <w:szCs w:val="22"/>
                      <w:lang w:val="es-CR"/>
                    </w:rPr>
                    <w:t>Lic. Marco Antonio B</w:t>
                  </w:r>
                  <w:r w:rsidR="00610553" w:rsidRPr="00FB0F00">
                    <w:rPr>
                      <w:rFonts w:ascii="Arial" w:hAnsi="Arial" w:cs="Arial"/>
                      <w:color w:val="000000" w:themeColor="text1"/>
                      <w:sz w:val="22"/>
                      <w:szCs w:val="22"/>
                      <w:lang w:val="es-CR"/>
                    </w:rPr>
                    <w:t>ustama</w:t>
                  </w:r>
                  <w:r w:rsidRPr="00FB0F00">
                    <w:rPr>
                      <w:rFonts w:ascii="Arial" w:hAnsi="Arial" w:cs="Arial"/>
                      <w:color w:val="000000" w:themeColor="text1"/>
                      <w:sz w:val="22"/>
                      <w:szCs w:val="22"/>
                      <w:lang w:val="es-CR"/>
                    </w:rPr>
                    <w:t>nte Ugalde</w:t>
                  </w:r>
                </w:p>
              </w:tc>
            </w:tr>
            <w:tr w:rsidR="00063158" w:rsidRPr="004B425B" w:rsidTr="00F91D48">
              <w:tc>
                <w:tcPr>
                  <w:tcW w:w="7654" w:type="dxa"/>
                  <w:gridSpan w:val="3"/>
                  <w:tcBorders>
                    <w:top w:val="nil"/>
                    <w:left w:val="nil"/>
                    <w:bottom w:val="nil"/>
                    <w:right w:val="nil"/>
                  </w:tcBorders>
                </w:tcPr>
                <w:p w:rsidR="00063158" w:rsidRPr="008A2DB5" w:rsidRDefault="00063158" w:rsidP="00EB2EAD">
                  <w:pPr>
                    <w:pStyle w:val="Textoindependiente2"/>
                    <w:spacing w:after="0" w:line="240" w:lineRule="auto"/>
                    <w:jc w:val="center"/>
                    <w:rPr>
                      <w:rFonts w:ascii="Arial" w:hAnsi="Arial" w:cs="Arial"/>
                      <w:b/>
                      <w:color w:val="000000" w:themeColor="text1"/>
                      <w:sz w:val="22"/>
                      <w:szCs w:val="22"/>
                    </w:rPr>
                  </w:pPr>
                  <w:r w:rsidRPr="008A2DB5">
                    <w:rPr>
                      <w:rFonts w:ascii="Arial" w:hAnsi="Arial" w:cs="Arial"/>
                      <w:b/>
                      <w:color w:val="000000" w:themeColor="text1"/>
                      <w:sz w:val="22"/>
                      <w:szCs w:val="22"/>
                    </w:rPr>
                    <w:t>Jefe</w:t>
                  </w:r>
                </w:p>
              </w:tc>
            </w:tr>
            <w:tr w:rsidR="00063158" w:rsidRPr="004B425B" w:rsidTr="00F91D48">
              <w:tc>
                <w:tcPr>
                  <w:tcW w:w="7654" w:type="dxa"/>
                  <w:gridSpan w:val="3"/>
                  <w:tcBorders>
                    <w:top w:val="nil"/>
                    <w:left w:val="nil"/>
                    <w:bottom w:val="nil"/>
                    <w:right w:val="nil"/>
                  </w:tcBorders>
                </w:tcPr>
                <w:p w:rsidR="00063158" w:rsidRPr="004B425B" w:rsidRDefault="00063158" w:rsidP="00EB2EAD">
                  <w:pPr>
                    <w:pStyle w:val="Textoindependiente2"/>
                    <w:spacing w:after="0" w:line="240" w:lineRule="auto"/>
                    <w:jc w:val="center"/>
                    <w:rPr>
                      <w:rFonts w:ascii="Arial" w:hAnsi="Arial" w:cs="Arial"/>
                      <w:color w:val="000000" w:themeColor="text1"/>
                      <w:sz w:val="22"/>
                      <w:szCs w:val="22"/>
                    </w:rPr>
                  </w:pPr>
                  <w:r w:rsidRPr="004B425B">
                    <w:rPr>
                      <w:rFonts w:ascii="Arial" w:hAnsi="Arial" w:cs="Arial"/>
                      <w:color w:val="000000" w:themeColor="text1"/>
                      <w:sz w:val="22"/>
                      <w:szCs w:val="22"/>
                    </w:rPr>
                    <w:t>Planificación Institucional</w:t>
                  </w:r>
                </w:p>
              </w:tc>
            </w:tr>
          </w:tbl>
          <w:p w:rsidR="00063158" w:rsidRPr="00063158" w:rsidRDefault="00063158" w:rsidP="00DB44FC">
            <w:pPr>
              <w:pStyle w:val="Textoindependiente2"/>
              <w:spacing w:after="0" w:line="240" w:lineRule="auto"/>
              <w:jc w:val="center"/>
              <w:rPr>
                <w:rFonts w:ascii="Arial" w:hAnsi="Arial" w:cs="Arial"/>
                <w:color w:val="000000" w:themeColor="text1"/>
                <w:sz w:val="22"/>
                <w:szCs w:val="22"/>
              </w:rPr>
            </w:pPr>
          </w:p>
        </w:tc>
        <w:tc>
          <w:tcPr>
            <w:tcW w:w="221" w:type="dxa"/>
            <w:tcBorders>
              <w:top w:val="nil"/>
              <w:bottom w:val="nil"/>
            </w:tcBorders>
          </w:tcPr>
          <w:p w:rsidR="00B364A0" w:rsidRPr="009B12FF" w:rsidRDefault="00B364A0" w:rsidP="00270751">
            <w:pPr>
              <w:pStyle w:val="Textoindependiente2"/>
              <w:spacing w:line="240" w:lineRule="auto"/>
              <w:jc w:val="center"/>
              <w:rPr>
                <w:rFonts w:ascii="Arial" w:hAnsi="Arial" w:cs="Arial"/>
                <w:color w:val="000000" w:themeColor="text1"/>
                <w:sz w:val="22"/>
                <w:szCs w:val="22"/>
              </w:rPr>
            </w:pPr>
          </w:p>
        </w:tc>
        <w:tc>
          <w:tcPr>
            <w:tcW w:w="1282" w:type="dxa"/>
          </w:tcPr>
          <w:p w:rsidR="006335A6" w:rsidRDefault="006335A6" w:rsidP="00605E92">
            <w:pPr>
              <w:pStyle w:val="Textoindependiente2"/>
              <w:spacing w:line="240" w:lineRule="auto"/>
              <w:jc w:val="center"/>
              <w:rPr>
                <w:rFonts w:ascii="Arial" w:hAnsi="Arial" w:cs="Arial"/>
                <w:color w:val="000000" w:themeColor="text1"/>
                <w:sz w:val="22"/>
                <w:szCs w:val="22"/>
              </w:rPr>
            </w:pPr>
          </w:p>
          <w:p w:rsidR="006335A6" w:rsidRDefault="006335A6" w:rsidP="00605E92">
            <w:pPr>
              <w:pStyle w:val="Textoindependiente2"/>
              <w:spacing w:line="240" w:lineRule="auto"/>
              <w:jc w:val="center"/>
              <w:rPr>
                <w:rFonts w:ascii="Arial" w:hAnsi="Arial" w:cs="Arial"/>
                <w:color w:val="000000" w:themeColor="text1"/>
                <w:sz w:val="22"/>
                <w:szCs w:val="22"/>
              </w:rPr>
            </w:pPr>
          </w:p>
          <w:p w:rsidR="006335A6" w:rsidRDefault="006335A6" w:rsidP="00605E92">
            <w:pPr>
              <w:pStyle w:val="Textoindependiente2"/>
              <w:spacing w:line="240" w:lineRule="auto"/>
              <w:jc w:val="center"/>
              <w:rPr>
                <w:rFonts w:ascii="Arial" w:hAnsi="Arial" w:cs="Arial"/>
                <w:color w:val="000000" w:themeColor="text1"/>
                <w:sz w:val="22"/>
                <w:szCs w:val="22"/>
              </w:rPr>
            </w:pPr>
          </w:p>
          <w:p w:rsidR="006335A6" w:rsidRDefault="006335A6" w:rsidP="00605E92">
            <w:pPr>
              <w:pStyle w:val="Textoindependiente2"/>
              <w:spacing w:line="240" w:lineRule="auto"/>
              <w:jc w:val="center"/>
              <w:rPr>
                <w:rFonts w:ascii="Arial" w:hAnsi="Arial" w:cs="Arial"/>
                <w:color w:val="000000" w:themeColor="text1"/>
                <w:sz w:val="22"/>
                <w:szCs w:val="22"/>
              </w:rPr>
            </w:pPr>
          </w:p>
          <w:p w:rsidR="006335A6" w:rsidRDefault="006335A6" w:rsidP="00605E92">
            <w:pPr>
              <w:pStyle w:val="Textoindependiente2"/>
              <w:spacing w:line="240" w:lineRule="auto"/>
              <w:jc w:val="center"/>
              <w:rPr>
                <w:rFonts w:ascii="Arial" w:hAnsi="Arial" w:cs="Arial"/>
                <w:color w:val="000000" w:themeColor="text1"/>
                <w:sz w:val="22"/>
                <w:szCs w:val="22"/>
              </w:rPr>
            </w:pPr>
          </w:p>
          <w:p w:rsidR="006335A6" w:rsidRDefault="006335A6" w:rsidP="00605E92">
            <w:pPr>
              <w:pStyle w:val="Textoindependiente2"/>
              <w:spacing w:line="240" w:lineRule="auto"/>
              <w:jc w:val="center"/>
              <w:rPr>
                <w:rFonts w:ascii="Arial" w:hAnsi="Arial" w:cs="Arial"/>
                <w:color w:val="000000" w:themeColor="text1"/>
                <w:sz w:val="22"/>
                <w:szCs w:val="22"/>
              </w:rPr>
            </w:pPr>
          </w:p>
          <w:p w:rsidR="006335A6" w:rsidRDefault="006335A6" w:rsidP="00605E92">
            <w:pPr>
              <w:pStyle w:val="Textoindependiente2"/>
              <w:spacing w:line="240" w:lineRule="auto"/>
              <w:jc w:val="center"/>
              <w:rPr>
                <w:rFonts w:ascii="Arial" w:hAnsi="Arial" w:cs="Arial"/>
                <w:color w:val="000000" w:themeColor="text1"/>
                <w:sz w:val="22"/>
                <w:szCs w:val="22"/>
              </w:rPr>
            </w:pPr>
          </w:p>
          <w:p w:rsidR="00DB44FC" w:rsidRDefault="00DB44FC" w:rsidP="00605E92">
            <w:pPr>
              <w:pStyle w:val="Textoindependiente2"/>
              <w:spacing w:line="240" w:lineRule="auto"/>
              <w:jc w:val="center"/>
              <w:rPr>
                <w:rFonts w:ascii="Arial" w:hAnsi="Arial" w:cs="Arial"/>
                <w:color w:val="000000" w:themeColor="text1"/>
                <w:sz w:val="22"/>
                <w:szCs w:val="22"/>
              </w:rPr>
            </w:pPr>
          </w:p>
          <w:p w:rsidR="00DB44FC" w:rsidRDefault="00DB44FC" w:rsidP="00605E92">
            <w:pPr>
              <w:pStyle w:val="Textoindependiente2"/>
              <w:spacing w:line="240" w:lineRule="auto"/>
              <w:jc w:val="center"/>
              <w:rPr>
                <w:rFonts w:ascii="Arial" w:hAnsi="Arial" w:cs="Arial"/>
                <w:color w:val="000000" w:themeColor="text1"/>
                <w:sz w:val="22"/>
                <w:szCs w:val="22"/>
              </w:rPr>
            </w:pPr>
          </w:p>
          <w:p w:rsidR="00B364A0" w:rsidRPr="00881DDC" w:rsidRDefault="00B364A0" w:rsidP="00270751">
            <w:pPr>
              <w:pStyle w:val="Textoindependiente2"/>
              <w:spacing w:after="0" w:line="240" w:lineRule="auto"/>
              <w:jc w:val="center"/>
              <w:rPr>
                <w:rFonts w:ascii="Arial" w:hAnsi="Arial" w:cs="Arial"/>
                <w:color w:val="000000" w:themeColor="text1"/>
                <w:sz w:val="22"/>
                <w:szCs w:val="22"/>
              </w:rPr>
            </w:pPr>
          </w:p>
        </w:tc>
      </w:tr>
    </w:tbl>
    <w:p w:rsidR="00D052BF" w:rsidRPr="00881DDC" w:rsidRDefault="00D052BF" w:rsidP="00610553">
      <w:pPr>
        <w:rPr>
          <w:rFonts w:ascii="Arial" w:hAnsi="Arial" w:cs="Arial"/>
          <w:color w:val="000000" w:themeColor="text1"/>
          <w:sz w:val="22"/>
          <w:szCs w:val="22"/>
        </w:rPr>
      </w:pPr>
    </w:p>
    <w:sectPr w:rsidR="00D052BF" w:rsidRPr="00881DDC" w:rsidSect="00F51996">
      <w:headerReference w:type="default" r:id="rId10"/>
      <w:footerReference w:type="even" r:id="rId11"/>
      <w:footerReference w:type="default" r:id="rId12"/>
      <w:pgSz w:w="11906" w:h="16838"/>
      <w:pgMar w:top="1843" w:right="1558" w:bottom="709" w:left="1701" w:header="708" w:footer="708" w:gutter="0"/>
      <w:pgNumType w:fmt="numberInDash"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0FAD" w:rsidRDefault="00780FAD">
      <w:r>
        <w:separator/>
      </w:r>
    </w:p>
  </w:endnote>
  <w:endnote w:type="continuationSeparator" w:id="0">
    <w:p w:rsidR="00780FAD" w:rsidRDefault="00780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aze">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W1)">
    <w:altName w:val="Arial"/>
    <w:charset w:val="00"/>
    <w:family w:val="swiss"/>
    <w:pitch w:val="variable"/>
    <w:sig w:usb0="20002A87" w:usb1="00000000" w:usb2="00000000" w:usb3="00000000" w:csb0="000001FF" w:csb1="00000000"/>
  </w:font>
  <w:font w:name="Garamond">
    <w:panose1 w:val="02020404030301010803"/>
    <w:charset w:val="00"/>
    <w:family w:val="roman"/>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8E5" w:rsidRDefault="00CC78E5" w:rsidP="008D59B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C78E5" w:rsidRDefault="00CC78E5" w:rsidP="008D59B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8E5" w:rsidRDefault="00CC78E5" w:rsidP="008D59B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C7DEC">
      <w:rPr>
        <w:rStyle w:val="Nmerodepgina"/>
        <w:noProof/>
      </w:rPr>
      <w:t>- 1 -</w:t>
    </w:r>
    <w:r>
      <w:rPr>
        <w:rStyle w:val="Nmerodepgina"/>
      </w:rPr>
      <w:fldChar w:fldCharType="end"/>
    </w:r>
  </w:p>
  <w:p w:rsidR="00CC78E5" w:rsidRPr="00930E8B" w:rsidRDefault="00CC78E5" w:rsidP="008D59BE">
    <w:pPr>
      <w:pStyle w:val="Piedepgina"/>
      <w:pBdr>
        <w:top w:val="single" w:sz="4" w:space="1" w:color="000000"/>
      </w:pBdr>
      <w:ind w:right="360"/>
      <w:jc w:val="center"/>
      <w:rPr>
        <w:rFonts w:ascii="Arial" w:hAnsi="Arial" w:cs="Arial"/>
        <w:sz w:val="20"/>
        <w:szCs w:val="20"/>
      </w:rPr>
    </w:pPr>
    <w:r w:rsidRPr="00930E8B">
      <w:rPr>
        <w:rFonts w:ascii="Arial" w:hAnsi="Arial" w:cs="Arial"/>
        <w:sz w:val="20"/>
        <w:szCs w:val="20"/>
      </w:rPr>
      <w:t>JUNTA DE PROTECCIÓN SOCIAL -PLANIFICACIÓN INSTITUCIONAL</w:t>
    </w:r>
  </w:p>
  <w:p w:rsidR="00CC78E5" w:rsidRDefault="00CC78E5" w:rsidP="008D59BE">
    <w:pPr>
      <w:pStyle w:val="Piedepgina"/>
      <w:pBdr>
        <w:top w:val="single" w:sz="4" w:space="1" w:color="000000"/>
      </w:pBdr>
      <w:ind w:right="360"/>
      <w:jc w:val="center"/>
      <w:rPr>
        <w:rFonts w:ascii="Tw Cen MT" w:hAnsi="Tw Cen MT"/>
        <w:i/>
        <w:sz w:val="18"/>
        <w:szCs w:val="18"/>
      </w:rPr>
    </w:pPr>
  </w:p>
  <w:p w:rsidR="00CC78E5" w:rsidRDefault="00CC78E5" w:rsidP="008D59BE">
    <w:pPr>
      <w:pStyle w:val="Piedepgina"/>
      <w:pBdr>
        <w:top w:val="single" w:sz="4" w:space="1" w:color="000000"/>
      </w:pBdr>
      <w:jc w:val="center"/>
      <w:rPr>
        <w:rFonts w:ascii="Tw Cen MT" w:hAnsi="Tw Cen MT"/>
        <w:i/>
        <w:sz w:val="18"/>
        <w:szCs w:val="18"/>
      </w:rPr>
    </w:pPr>
  </w:p>
  <w:p w:rsidR="00CC78E5" w:rsidRDefault="00CC78E5" w:rsidP="008D59BE">
    <w:pPr>
      <w:pStyle w:val="Piedepgina"/>
      <w:pBdr>
        <w:top w:val="single" w:sz="4" w:space="1" w:color="000000"/>
      </w:pBdr>
      <w:jc w:val="center"/>
      <w:rPr>
        <w:rFonts w:ascii="Tw Cen MT" w:hAnsi="Tw Cen MT"/>
        <w:i/>
        <w:sz w:val="18"/>
        <w:szCs w:val="18"/>
      </w:rPr>
    </w:pPr>
  </w:p>
  <w:p w:rsidR="00CC78E5" w:rsidRPr="00F06437" w:rsidRDefault="00CC78E5" w:rsidP="008D59BE">
    <w:pPr>
      <w:pStyle w:val="Piedepgina"/>
      <w:pBdr>
        <w:top w:val="single" w:sz="4" w:space="1" w:color="000000"/>
      </w:pBd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0FAD" w:rsidRDefault="00780FAD">
      <w:r>
        <w:separator/>
      </w:r>
    </w:p>
  </w:footnote>
  <w:footnote w:type="continuationSeparator" w:id="0">
    <w:p w:rsidR="00780FAD" w:rsidRDefault="00780FAD">
      <w:r>
        <w:continuationSeparator/>
      </w:r>
    </w:p>
  </w:footnote>
  <w:footnote w:id="1">
    <w:p w:rsidR="00CC78E5" w:rsidRPr="0089693A" w:rsidRDefault="00CC78E5" w:rsidP="00881DDC">
      <w:pPr>
        <w:pStyle w:val="Textonotapie"/>
        <w:rPr>
          <w:lang w:val="es-CR"/>
        </w:rPr>
      </w:pPr>
      <w:r>
        <w:rPr>
          <w:rStyle w:val="Refdenotaalpie"/>
          <w:rFonts w:eastAsia="Batang"/>
        </w:rPr>
        <w:footnoteRef/>
      </w:r>
      <w:r>
        <w:t xml:space="preserve"> El concepto de venta efectiva corresponde a la venta bruta menos las devoluciones.</w:t>
      </w:r>
    </w:p>
  </w:footnote>
  <w:footnote w:id="2">
    <w:p w:rsidR="00CC78E5" w:rsidRPr="00CC150C" w:rsidRDefault="00CC78E5" w:rsidP="00881DDC">
      <w:pPr>
        <w:pStyle w:val="Textonotapie"/>
        <w:rPr>
          <w:lang w:val="es-CR"/>
        </w:rPr>
      </w:pPr>
      <w:r>
        <w:rPr>
          <w:rStyle w:val="Refdenotaalpie"/>
          <w:rFonts w:eastAsia="Batang"/>
        </w:rPr>
        <w:footnoteRef/>
      </w:r>
      <w:r>
        <w:t xml:space="preserve"> </w:t>
      </w:r>
      <w:r>
        <w:rPr>
          <w:lang w:val="es-CR"/>
        </w:rPr>
        <w:t>El concepto de venta efectiva corresponde a la venta bruta menos  las devoluciones.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8E5" w:rsidRDefault="00CC78E5" w:rsidP="00671069">
    <w:pPr>
      <w:jc w:val="right"/>
      <w:rPr>
        <w:rFonts w:ascii="Arial" w:hAnsi="Arial" w:cs="Arial"/>
        <w:b/>
        <w:sz w:val="20"/>
        <w:szCs w:val="20"/>
        <w:lang w:val="es-MX"/>
      </w:rPr>
    </w:pPr>
    <w:r w:rsidRPr="00592DF2">
      <w:rPr>
        <w:rFonts w:ascii="Arial" w:hAnsi="Arial" w:cs="Arial"/>
        <w:b/>
        <w:sz w:val="20"/>
        <w:szCs w:val="20"/>
        <w:lang w:val="es-MX"/>
      </w:rPr>
      <w:t xml:space="preserve">INFORME DE </w:t>
    </w:r>
    <w:r>
      <w:rPr>
        <w:rFonts w:ascii="Arial" w:hAnsi="Arial" w:cs="Arial"/>
        <w:b/>
        <w:sz w:val="20"/>
        <w:szCs w:val="20"/>
        <w:lang w:val="es-MX"/>
      </w:rPr>
      <w:t xml:space="preserve">EVALUACIÓN ANUAL </w:t>
    </w:r>
  </w:p>
  <w:p w:rsidR="00CC78E5" w:rsidRPr="00AF5ADD" w:rsidRDefault="00CC78E5" w:rsidP="00671069">
    <w:pPr>
      <w:jc w:val="right"/>
      <w:rPr>
        <w:rFonts w:ascii="Arial" w:hAnsi="Arial" w:cs="Arial"/>
        <w:b/>
        <w:sz w:val="22"/>
        <w:szCs w:val="22"/>
        <w:lang w:val="es-MX"/>
      </w:rPr>
    </w:pPr>
    <w:r w:rsidRPr="00592DF2">
      <w:rPr>
        <w:rFonts w:ascii="Arial" w:hAnsi="Arial" w:cs="Arial"/>
        <w:b/>
        <w:sz w:val="20"/>
        <w:szCs w:val="20"/>
        <w:lang w:val="es-MX"/>
      </w:rPr>
      <w:t xml:space="preserve"> PLAN OPERATIVO INSTITUCIONAL 201</w:t>
    </w:r>
    <w:r>
      <w:rPr>
        <w:rFonts w:ascii="Arial" w:hAnsi="Arial" w:cs="Arial"/>
        <w:b/>
        <w:sz w:val="20"/>
        <w:szCs w:val="20"/>
        <w:lang w:val="es-MX"/>
      </w:rPr>
      <w:t>3</w:t>
    </w:r>
  </w:p>
  <w:p w:rsidR="00CC78E5" w:rsidRDefault="00CC78E5" w:rsidP="00671069">
    <w:pPr>
      <w:pBdr>
        <w:bottom w:val="single" w:sz="4" w:space="0" w:color="auto"/>
      </w:pBdr>
      <w:outlineLvl w:val="0"/>
      <w:rPr>
        <w:rFonts w:ascii="Garamond" w:hAnsi="Garamond"/>
        <w:b/>
        <w:sz w:val="40"/>
      </w:rPr>
    </w:pPr>
  </w:p>
  <w:p w:rsidR="00CC78E5" w:rsidRPr="00592DF2" w:rsidRDefault="00CC78E5" w:rsidP="00592DF2">
    <w:pPr>
      <w:pStyle w:val="Encabezado"/>
      <w:rPr>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4673C"/>
    <w:multiLevelType w:val="hybridMultilevel"/>
    <w:tmpl w:val="90884E5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B267D8"/>
    <w:multiLevelType w:val="hybridMultilevel"/>
    <w:tmpl w:val="49CC6566"/>
    <w:lvl w:ilvl="0" w:tplc="0C0A001B">
      <w:start w:val="1"/>
      <w:numFmt w:val="lowerRoman"/>
      <w:lvlText w:val="%1."/>
      <w:lvlJc w:val="right"/>
      <w:pPr>
        <w:tabs>
          <w:tab w:val="num" w:pos="360"/>
        </w:tabs>
        <w:ind w:left="360" w:hanging="180"/>
      </w:pPr>
    </w:lvl>
    <w:lvl w:ilvl="1" w:tplc="0C0A0019" w:tentative="1">
      <w:start w:val="1"/>
      <w:numFmt w:val="lowerLetter"/>
      <w:lvlText w:val="%2."/>
      <w:lvlJc w:val="left"/>
      <w:pPr>
        <w:tabs>
          <w:tab w:val="num" w:pos="-360"/>
        </w:tabs>
        <w:ind w:left="-360" w:hanging="360"/>
      </w:pPr>
    </w:lvl>
    <w:lvl w:ilvl="2" w:tplc="0C0A001B" w:tentative="1">
      <w:start w:val="1"/>
      <w:numFmt w:val="lowerRoman"/>
      <w:lvlText w:val="%3."/>
      <w:lvlJc w:val="right"/>
      <w:pPr>
        <w:tabs>
          <w:tab w:val="num" w:pos="360"/>
        </w:tabs>
        <w:ind w:left="360" w:hanging="180"/>
      </w:pPr>
    </w:lvl>
    <w:lvl w:ilvl="3" w:tplc="0C0A000F" w:tentative="1">
      <w:start w:val="1"/>
      <w:numFmt w:val="decimal"/>
      <w:lvlText w:val="%4."/>
      <w:lvlJc w:val="left"/>
      <w:pPr>
        <w:tabs>
          <w:tab w:val="num" w:pos="1080"/>
        </w:tabs>
        <w:ind w:left="1080" w:hanging="360"/>
      </w:pPr>
    </w:lvl>
    <w:lvl w:ilvl="4" w:tplc="0C0A0019" w:tentative="1">
      <w:start w:val="1"/>
      <w:numFmt w:val="lowerLetter"/>
      <w:lvlText w:val="%5."/>
      <w:lvlJc w:val="left"/>
      <w:pPr>
        <w:tabs>
          <w:tab w:val="num" w:pos="1800"/>
        </w:tabs>
        <w:ind w:left="1800" w:hanging="360"/>
      </w:pPr>
    </w:lvl>
    <w:lvl w:ilvl="5" w:tplc="0C0A001B" w:tentative="1">
      <w:start w:val="1"/>
      <w:numFmt w:val="lowerRoman"/>
      <w:lvlText w:val="%6."/>
      <w:lvlJc w:val="right"/>
      <w:pPr>
        <w:tabs>
          <w:tab w:val="num" w:pos="2520"/>
        </w:tabs>
        <w:ind w:left="2520" w:hanging="180"/>
      </w:pPr>
    </w:lvl>
    <w:lvl w:ilvl="6" w:tplc="0C0A000F" w:tentative="1">
      <w:start w:val="1"/>
      <w:numFmt w:val="decimal"/>
      <w:lvlText w:val="%7."/>
      <w:lvlJc w:val="left"/>
      <w:pPr>
        <w:tabs>
          <w:tab w:val="num" w:pos="3240"/>
        </w:tabs>
        <w:ind w:left="3240" w:hanging="360"/>
      </w:pPr>
    </w:lvl>
    <w:lvl w:ilvl="7" w:tplc="0C0A0019" w:tentative="1">
      <w:start w:val="1"/>
      <w:numFmt w:val="lowerLetter"/>
      <w:lvlText w:val="%8."/>
      <w:lvlJc w:val="left"/>
      <w:pPr>
        <w:tabs>
          <w:tab w:val="num" w:pos="3960"/>
        </w:tabs>
        <w:ind w:left="3960" w:hanging="360"/>
      </w:pPr>
    </w:lvl>
    <w:lvl w:ilvl="8" w:tplc="0C0A001B" w:tentative="1">
      <w:start w:val="1"/>
      <w:numFmt w:val="lowerRoman"/>
      <w:lvlText w:val="%9."/>
      <w:lvlJc w:val="right"/>
      <w:pPr>
        <w:tabs>
          <w:tab w:val="num" w:pos="4680"/>
        </w:tabs>
        <w:ind w:left="4680" w:hanging="180"/>
      </w:pPr>
    </w:lvl>
  </w:abstractNum>
  <w:abstractNum w:abstractNumId="2" w15:restartNumberingAfterBreak="0">
    <w:nsid w:val="04403E83"/>
    <w:multiLevelType w:val="hybridMultilevel"/>
    <w:tmpl w:val="4FD868AC"/>
    <w:lvl w:ilvl="0" w:tplc="51442446">
      <w:start w:val="1"/>
      <w:numFmt w:val="bullet"/>
      <w:lvlText w:val=""/>
      <w:lvlJc w:val="left"/>
      <w:pPr>
        <w:tabs>
          <w:tab w:val="num" w:pos="1440"/>
        </w:tabs>
        <w:ind w:left="1440" w:hanging="360"/>
      </w:pPr>
      <w:rPr>
        <w:rFonts w:ascii="Symbol" w:hAnsi="Symbol" w:hint="default"/>
        <w:color w:val="auto"/>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start w:val="1"/>
      <w:numFmt w:val="bullet"/>
      <w:lvlText w:val=""/>
      <w:lvlJc w:val="left"/>
      <w:pPr>
        <w:tabs>
          <w:tab w:val="num" w:pos="3600"/>
        </w:tabs>
        <w:ind w:left="3600" w:hanging="360"/>
      </w:pPr>
      <w:rPr>
        <w:rFonts w:ascii="Symbol" w:hAnsi="Symbol" w:hint="default"/>
        <w:color w:val="auto"/>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44E559E"/>
    <w:multiLevelType w:val="hybridMultilevel"/>
    <w:tmpl w:val="9238081A"/>
    <w:lvl w:ilvl="0" w:tplc="C348183E">
      <w:start w:val="3"/>
      <w:numFmt w:val="decimal"/>
      <w:lvlText w:val="%1."/>
      <w:lvlJc w:val="left"/>
      <w:pPr>
        <w:tabs>
          <w:tab w:val="num" w:pos="1068"/>
        </w:tabs>
        <w:ind w:left="1068" w:hanging="360"/>
      </w:pPr>
      <w:rPr>
        <w:rFonts w:cs="Times New Roman" w:hint="default"/>
      </w:rPr>
    </w:lvl>
    <w:lvl w:ilvl="1" w:tplc="0C0A0019" w:tentative="1">
      <w:start w:val="1"/>
      <w:numFmt w:val="lowerLetter"/>
      <w:lvlText w:val="%2."/>
      <w:lvlJc w:val="left"/>
      <w:pPr>
        <w:tabs>
          <w:tab w:val="num" w:pos="1788"/>
        </w:tabs>
        <w:ind w:left="1788" w:hanging="360"/>
      </w:pPr>
      <w:rPr>
        <w:rFonts w:cs="Times New Roman"/>
      </w:rPr>
    </w:lvl>
    <w:lvl w:ilvl="2" w:tplc="0C0A001B" w:tentative="1">
      <w:start w:val="1"/>
      <w:numFmt w:val="lowerRoman"/>
      <w:lvlText w:val="%3."/>
      <w:lvlJc w:val="right"/>
      <w:pPr>
        <w:tabs>
          <w:tab w:val="num" w:pos="2508"/>
        </w:tabs>
        <w:ind w:left="2508" w:hanging="180"/>
      </w:pPr>
      <w:rPr>
        <w:rFonts w:cs="Times New Roman"/>
      </w:rPr>
    </w:lvl>
    <w:lvl w:ilvl="3" w:tplc="0C0A000F" w:tentative="1">
      <w:start w:val="1"/>
      <w:numFmt w:val="decimal"/>
      <w:lvlText w:val="%4."/>
      <w:lvlJc w:val="left"/>
      <w:pPr>
        <w:tabs>
          <w:tab w:val="num" w:pos="3228"/>
        </w:tabs>
        <w:ind w:left="3228" w:hanging="360"/>
      </w:pPr>
      <w:rPr>
        <w:rFonts w:cs="Times New Roman"/>
      </w:rPr>
    </w:lvl>
    <w:lvl w:ilvl="4" w:tplc="0C0A0019" w:tentative="1">
      <w:start w:val="1"/>
      <w:numFmt w:val="lowerLetter"/>
      <w:lvlText w:val="%5."/>
      <w:lvlJc w:val="left"/>
      <w:pPr>
        <w:tabs>
          <w:tab w:val="num" w:pos="3948"/>
        </w:tabs>
        <w:ind w:left="3948" w:hanging="360"/>
      </w:pPr>
      <w:rPr>
        <w:rFonts w:cs="Times New Roman"/>
      </w:rPr>
    </w:lvl>
    <w:lvl w:ilvl="5" w:tplc="0C0A001B" w:tentative="1">
      <w:start w:val="1"/>
      <w:numFmt w:val="lowerRoman"/>
      <w:lvlText w:val="%6."/>
      <w:lvlJc w:val="right"/>
      <w:pPr>
        <w:tabs>
          <w:tab w:val="num" w:pos="4668"/>
        </w:tabs>
        <w:ind w:left="4668" w:hanging="180"/>
      </w:pPr>
      <w:rPr>
        <w:rFonts w:cs="Times New Roman"/>
      </w:rPr>
    </w:lvl>
    <w:lvl w:ilvl="6" w:tplc="0C0A000F" w:tentative="1">
      <w:start w:val="1"/>
      <w:numFmt w:val="decimal"/>
      <w:lvlText w:val="%7."/>
      <w:lvlJc w:val="left"/>
      <w:pPr>
        <w:tabs>
          <w:tab w:val="num" w:pos="5388"/>
        </w:tabs>
        <w:ind w:left="5388" w:hanging="360"/>
      </w:pPr>
      <w:rPr>
        <w:rFonts w:cs="Times New Roman"/>
      </w:rPr>
    </w:lvl>
    <w:lvl w:ilvl="7" w:tplc="0C0A0019" w:tentative="1">
      <w:start w:val="1"/>
      <w:numFmt w:val="lowerLetter"/>
      <w:lvlText w:val="%8."/>
      <w:lvlJc w:val="left"/>
      <w:pPr>
        <w:tabs>
          <w:tab w:val="num" w:pos="6108"/>
        </w:tabs>
        <w:ind w:left="6108" w:hanging="360"/>
      </w:pPr>
      <w:rPr>
        <w:rFonts w:cs="Times New Roman"/>
      </w:rPr>
    </w:lvl>
    <w:lvl w:ilvl="8" w:tplc="0C0A001B" w:tentative="1">
      <w:start w:val="1"/>
      <w:numFmt w:val="lowerRoman"/>
      <w:lvlText w:val="%9."/>
      <w:lvlJc w:val="right"/>
      <w:pPr>
        <w:tabs>
          <w:tab w:val="num" w:pos="6828"/>
        </w:tabs>
        <w:ind w:left="6828" w:hanging="180"/>
      </w:pPr>
      <w:rPr>
        <w:rFonts w:cs="Times New Roman"/>
      </w:rPr>
    </w:lvl>
  </w:abstractNum>
  <w:abstractNum w:abstractNumId="4" w15:restartNumberingAfterBreak="0">
    <w:nsid w:val="05EF4FB9"/>
    <w:multiLevelType w:val="hybridMultilevel"/>
    <w:tmpl w:val="49361514"/>
    <w:lvl w:ilvl="0" w:tplc="14D4468E">
      <w:start w:val="2"/>
      <w:numFmt w:val="upperRoman"/>
      <w:lvlText w:val="%1."/>
      <w:lvlJc w:val="right"/>
      <w:pPr>
        <w:tabs>
          <w:tab w:val="num" w:pos="180"/>
        </w:tabs>
        <w:ind w:left="180" w:hanging="180"/>
      </w:pPr>
      <w:rPr>
        <w:rFonts w:cs="Times New Roman" w:hint="default"/>
      </w:rPr>
    </w:lvl>
    <w:lvl w:ilvl="1" w:tplc="0C0A0019" w:tentative="1">
      <w:start w:val="1"/>
      <w:numFmt w:val="lowerLetter"/>
      <w:lvlText w:val="%2."/>
      <w:lvlJc w:val="left"/>
      <w:pPr>
        <w:tabs>
          <w:tab w:val="num" w:pos="360"/>
        </w:tabs>
        <w:ind w:left="360" w:hanging="360"/>
      </w:pPr>
      <w:rPr>
        <w:rFonts w:cs="Times New Roman"/>
      </w:rPr>
    </w:lvl>
    <w:lvl w:ilvl="2" w:tplc="0C0A001B" w:tentative="1">
      <w:start w:val="1"/>
      <w:numFmt w:val="lowerRoman"/>
      <w:lvlText w:val="%3."/>
      <w:lvlJc w:val="right"/>
      <w:pPr>
        <w:tabs>
          <w:tab w:val="num" w:pos="1080"/>
        </w:tabs>
        <w:ind w:left="1080" w:hanging="180"/>
      </w:pPr>
      <w:rPr>
        <w:rFonts w:cs="Times New Roman"/>
      </w:rPr>
    </w:lvl>
    <w:lvl w:ilvl="3" w:tplc="0C0A000F" w:tentative="1">
      <w:start w:val="1"/>
      <w:numFmt w:val="decimal"/>
      <w:lvlText w:val="%4."/>
      <w:lvlJc w:val="left"/>
      <w:pPr>
        <w:tabs>
          <w:tab w:val="num" w:pos="1800"/>
        </w:tabs>
        <w:ind w:left="1800" w:hanging="360"/>
      </w:pPr>
      <w:rPr>
        <w:rFonts w:cs="Times New Roman"/>
      </w:rPr>
    </w:lvl>
    <w:lvl w:ilvl="4" w:tplc="0C0A0019" w:tentative="1">
      <w:start w:val="1"/>
      <w:numFmt w:val="lowerLetter"/>
      <w:lvlText w:val="%5."/>
      <w:lvlJc w:val="left"/>
      <w:pPr>
        <w:tabs>
          <w:tab w:val="num" w:pos="2520"/>
        </w:tabs>
        <w:ind w:left="2520" w:hanging="360"/>
      </w:pPr>
      <w:rPr>
        <w:rFonts w:cs="Times New Roman"/>
      </w:rPr>
    </w:lvl>
    <w:lvl w:ilvl="5" w:tplc="0C0A001B" w:tentative="1">
      <w:start w:val="1"/>
      <w:numFmt w:val="lowerRoman"/>
      <w:lvlText w:val="%6."/>
      <w:lvlJc w:val="right"/>
      <w:pPr>
        <w:tabs>
          <w:tab w:val="num" w:pos="3240"/>
        </w:tabs>
        <w:ind w:left="3240" w:hanging="180"/>
      </w:pPr>
      <w:rPr>
        <w:rFonts w:cs="Times New Roman"/>
      </w:rPr>
    </w:lvl>
    <w:lvl w:ilvl="6" w:tplc="0C0A000F" w:tentative="1">
      <w:start w:val="1"/>
      <w:numFmt w:val="decimal"/>
      <w:lvlText w:val="%7."/>
      <w:lvlJc w:val="left"/>
      <w:pPr>
        <w:tabs>
          <w:tab w:val="num" w:pos="3960"/>
        </w:tabs>
        <w:ind w:left="3960" w:hanging="360"/>
      </w:pPr>
      <w:rPr>
        <w:rFonts w:cs="Times New Roman"/>
      </w:rPr>
    </w:lvl>
    <w:lvl w:ilvl="7" w:tplc="0C0A0019" w:tentative="1">
      <w:start w:val="1"/>
      <w:numFmt w:val="lowerLetter"/>
      <w:lvlText w:val="%8."/>
      <w:lvlJc w:val="left"/>
      <w:pPr>
        <w:tabs>
          <w:tab w:val="num" w:pos="4680"/>
        </w:tabs>
        <w:ind w:left="4680" w:hanging="360"/>
      </w:pPr>
      <w:rPr>
        <w:rFonts w:cs="Times New Roman"/>
      </w:rPr>
    </w:lvl>
    <w:lvl w:ilvl="8" w:tplc="0C0A001B" w:tentative="1">
      <w:start w:val="1"/>
      <w:numFmt w:val="lowerRoman"/>
      <w:lvlText w:val="%9."/>
      <w:lvlJc w:val="right"/>
      <w:pPr>
        <w:tabs>
          <w:tab w:val="num" w:pos="5400"/>
        </w:tabs>
        <w:ind w:left="5400" w:hanging="180"/>
      </w:pPr>
      <w:rPr>
        <w:rFonts w:cs="Times New Roman"/>
      </w:rPr>
    </w:lvl>
  </w:abstractNum>
  <w:abstractNum w:abstractNumId="5" w15:restartNumberingAfterBreak="0">
    <w:nsid w:val="069E122A"/>
    <w:multiLevelType w:val="hybridMultilevel"/>
    <w:tmpl w:val="F740D846"/>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A6D2A5E"/>
    <w:multiLevelType w:val="hybridMultilevel"/>
    <w:tmpl w:val="2EFCCB5E"/>
    <w:lvl w:ilvl="0" w:tplc="D214CDC8">
      <w:start w:val="1"/>
      <w:numFmt w:val="bullet"/>
      <w:lvlText w:val=""/>
      <w:lvlJc w:val="left"/>
      <w:pPr>
        <w:tabs>
          <w:tab w:val="num" w:pos="360"/>
        </w:tabs>
        <w:ind w:left="313" w:hanging="313"/>
      </w:pPr>
      <w:rPr>
        <w:rFonts w:ascii="Symbol" w:hAnsi="Symbol" w:hint="default"/>
        <w:sz w:val="20"/>
        <w:szCs w:val="20"/>
      </w:rPr>
    </w:lvl>
    <w:lvl w:ilvl="1" w:tplc="0C0A0019" w:tentative="1">
      <w:start w:val="1"/>
      <w:numFmt w:val="lowerLetter"/>
      <w:lvlText w:val="%2."/>
      <w:lvlJc w:val="left"/>
      <w:pPr>
        <w:tabs>
          <w:tab w:val="num" w:pos="-540"/>
        </w:tabs>
        <w:ind w:left="-540" w:hanging="360"/>
      </w:pPr>
    </w:lvl>
    <w:lvl w:ilvl="2" w:tplc="0C0A001B" w:tentative="1">
      <w:start w:val="1"/>
      <w:numFmt w:val="lowerRoman"/>
      <w:lvlText w:val="%3."/>
      <w:lvlJc w:val="right"/>
      <w:pPr>
        <w:tabs>
          <w:tab w:val="num" w:pos="180"/>
        </w:tabs>
        <w:ind w:left="180" w:hanging="180"/>
      </w:pPr>
    </w:lvl>
    <w:lvl w:ilvl="3" w:tplc="0C0A000F" w:tentative="1">
      <w:start w:val="1"/>
      <w:numFmt w:val="decimal"/>
      <w:lvlText w:val="%4."/>
      <w:lvlJc w:val="left"/>
      <w:pPr>
        <w:tabs>
          <w:tab w:val="num" w:pos="900"/>
        </w:tabs>
        <w:ind w:left="900" w:hanging="360"/>
      </w:pPr>
    </w:lvl>
    <w:lvl w:ilvl="4" w:tplc="0C0A0019" w:tentative="1">
      <w:start w:val="1"/>
      <w:numFmt w:val="lowerLetter"/>
      <w:lvlText w:val="%5."/>
      <w:lvlJc w:val="left"/>
      <w:pPr>
        <w:tabs>
          <w:tab w:val="num" w:pos="1620"/>
        </w:tabs>
        <w:ind w:left="1620" w:hanging="360"/>
      </w:pPr>
    </w:lvl>
    <w:lvl w:ilvl="5" w:tplc="0C0A001B" w:tentative="1">
      <w:start w:val="1"/>
      <w:numFmt w:val="lowerRoman"/>
      <w:lvlText w:val="%6."/>
      <w:lvlJc w:val="right"/>
      <w:pPr>
        <w:tabs>
          <w:tab w:val="num" w:pos="2340"/>
        </w:tabs>
        <w:ind w:left="2340" w:hanging="180"/>
      </w:pPr>
    </w:lvl>
    <w:lvl w:ilvl="6" w:tplc="0C0A000F" w:tentative="1">
      <w:start w:val="1"/>
      <w:numFmt w:val="decimal"/>
      <w:lvlText w:val="%7."/>
      <w:lvlJc w:val="left"/>
      <w:pPr>
        <w:tabs>
          <w:tab w:val="num" w:pos="3060"/>
        </w:tabs>
        <w:ind w:left="3060" w:hanging="360"/>
      </w:pPr>
    </w:lvl>
    <w:lvl w:ilvl="7" w:tplc="0C0A0019" w:tentative="1">
      <w:start w:val="1"/>
      <w:numFmt w:val="lowerLetter"/>
      <w:lvlText w:val="%8."/>
      <w:lvlJc w:val="left"/>
      <w:pPr>
        <w:tabs>
          <w:tab w:val="num" w:pos="3780"/>
        </w:tabs>
        <w:ind w:left="3780" w:hanging="360"/>
      </w:pPr>
    </w:lvl>
    <w:lvl w:ilvl="8" w:tplc="0C0A001B" w:tentative="1">
      <w:start w:val="1"/>
      <w:numFmt w:val="lowerRoman"/>
      <w:lvlText w:val="%9."/>
      <w:lvlJc w:val="right"/>
      <w:pPr>
        <w:tabs>
          <w:tab w:val="num" w:pos="4500"/>
        </w:tabs>
        <w:ind w:left="4500" w:hanging="180"/>
      </w:pPr>
    </w:lvl>
  </w:abstractNum>
  <w:abstractNum w:abstractNumId="7" w15:restartNumberingAfterBreak="0">
    <w:nsid w:val="0E243FDA"/>
    <w:multiLevelType w:val="hybridMultilevel"/>
    <w:tmpl w:val="98DEF6F8"/>
    <w:lvl w:ilvl="0" w:tplc="0C0A000B">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2A335B7"/>
    <w:multiLevelType w:val="hybridMultilevel"/>
    <w:tmpl w:val="25DCF1DE"/>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13F84FF9"/>
    <w:multiLevelType w:val="hybridMultilevel"/>
    <w:tmpl w:val="03BC7F60"/>
    <w:lvl w:ilvl="0" w:tplc="158013C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7F260E7"/>
    <w:multiLevelType w:val="hybridMultilevel"/>
    <w:tmpl w:val="CDA8537C"/>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8221669"/>
    <w:multiLevelType w:val="hybridMultilevel"/>
    <w:tmpl w:val="5D8E96F4"/>
    <w:lvl w:ilvl="0" w:tplc="E9BC8E92">
      <w:start w:val="1"/>
      <w:numFmt w:val="upperRoman"/>
      <w:lvlText w:val="%1."/>
      <w:lvlJc w:val="left"/>
      <w:pPr>
        <w:tabs>
          <w:tab w:val="num" w:pos="720"/>
        </w:tabs>
        <w:ind w:left="720" w:hanging="72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2" w15:restartNumberingAfterBreak="0">
    <w:nsid w:val="18BA4B7F"/>
    <w:multiLevelType w:val="hybridMultilevel"/>
    <w:tmpl w:val="359C2882"/>
    <w:lvl w:ilvl="0" w:tplc="79AE75B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1A88791F"/>
    <w:multiLevelType w:val="hybridMultilevel"/>
    <w:tmpl w:val="FAA06484"/>
    <w:lvl w:ilvl="0" w:tplc="79FAE344">
      <w:start w:val="1"/>
      <w:numFmt w:val="bullet"/>
      <w:lvlText w:val=""/>
      <w:lvlJc w:val="left"/>
      <w:pPr>
        <w:tabs>
          <w:tab w:val="num" w:pos="360"/>
        </w:tabs>
        <w:ind w:left="360" w:hanging="360"/>
      </w:pPr>
      <w:rPr>
        <w:rFonts w:ascii="Wingdings" w:hAnsi="Wingdings" w:hint="default"/>
        <w:b/>
        <w:color w:val="000000"/>
        <w:sz w:val="18"/>
      </w:rPr>
    </w:lvl>
    <w:lvl w:ilvl="1" w:tplc="282A2E96">
      <w:start w:val="1"/>
      <w:numFmt w:val="bullet"/>
      <w:lvlText w:val="+"/>
      <w:lvlJc w:val="left"/>
      <w:pPr>
        <w:tabs>
          <w:tab w:val="num" w:pos="1080"/>
        </w:tabs>
        <w:ind w:left="1080" w:hanging="360"/>
      </w:pPr>
      <w:rPr>
        <w:rFonts w:ascii="Amaze" w:hAnsi="Amaze" w:hint="default"/>
        <w:b/>
        <w:i w:val="0"/>
        <w:color w:val="000000"/>
        <w:sz w:val="32"/>
        <w:szCs w:val="32"/>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4" w15:restartNumberingAfterBreak="0">
    <w:nsid w:val="1C5475B1"/>
    <w:multiLevelType w:val="hybridMultilevel"/>
    <w:tmpl w:val="977863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1E4A3463"/>
    <w:multiLevelType w:val="hybridMultilevel"/>
    <w:tmpl w:val="5F941BB0"/>
    <w:lvl w:ilvl="0" w:tplc="D214CDC8">
      <w:start w:val="1"/>
      <w:numFmt w:val="bullet"/>
      <w:lvlText w:val=""/>
      <w:lvlJc w:val="left"/>
      <w:pPr>
        <w:tabs>
          <w:tab w:val="num" w:pos="1068"/>
        </w:tabs>
        <w:ind w:left="1021" w:hanging="313"/>
      </w:pPr>
      <w:rPr>
        <w:rFonts w:ascii="Symbol" w:hAnsi="Symbol" w:hint="default"/>
        <w:sz w:val="20"/>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0244807"/>
    <w:multiLevelType w:val="hybridMultilevel"/>
    <w:tmpl w:val="FF8425B2"/>
    <w:lvl w:ilvl="0" w:tplc="195C5570">
      <w:start w:val="1"/>
      <w:numFmt w:val="bullet"/>
      <w:lvlText w:val="-"/>
      <w:lvlJc w:val="left"/>
      <w:pPr>
        <w:ind w:left="720" w:hanging="360"/>
      </w:pPr>
      <w:rPr>
        <w:rFonts w:ascii="Arial" w:eastAsia="Batang" w:hAnsi="Arial" w:cs="Aria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7" w15:restartNumberingAfterBreak="0">
    <w:nsid w:val="228E5750"/>
    <w:multiLevelType w:val="hybridMultilevel"/>
    <w:tmpl w:val="A0D46F50"/>
    <w:lvl w:ilvl="0" w:tplc="00D086C2">
      <w:start w:val="3"/>
      <w:numFmt w:val="upperRoman"/>
      <w:lvlText w:val="%1."/>
      <w:lvlJc w:val="right"/>
      <w:pPr>
        <w:tabs>
          <w:tab w:val="num" w:pos="540"/>
        </w:tabs>
        <w:ind w:left="540" w:hanging="180"/>
      </w:pPr>
      <w:rPr>
        <w:rFonts w:cs="Times New Roman" w:hint="default"/>
      </w:rPr>
    </w:lvl>
    <w:lvl w:ilvl="1" w:tplc="0C0A0019" w:tentative="1">
      <w:start w:val="1"/>
      <w:numFmt w:val="lowerLetter"/>
      <w:lvlText w:val="%2."/>
      <w:lvlJc w:val="left"/>
      <w:pPr>
        <w:tabs>
          <w:tab w:val="num" w:pos="720"/>
        </w:tabs>
        <w:ind w:left="720" w:hanging="360"/>
      </w:pPr>
      <w:rPr>
        <w:rFonts w:cs="Times New Roman"/>
      </w:rPr>
    </w:lvl>
    <w:lvl w:ilvl="2" w:tplc="0C0A001B" w:tentative="1">
      <w:start w:val="1"/>
      <w:numFmt w:val="lowerRoman"/>
      <w:lvlText w:val="%3."/>
      <w:lvlJc w:val="right"/>
      <w:pPr>
        <w:tabs>
          <w:tab w:val="num" w:pos="1440"/>
        </w:tabs>
        <w:ind w:left="1440" w:hanging="180"/>
      </w:pPr>
      <w:rPr>
        <w:rFonts w:cs="Times New Roman"/>
      </w:rPr>
    </w:lvl>
    <w:lvl w:ilvl="3" w:tplc="0C0A000F" w:tentative="1">
      <w:start w:val="1"/>
      <w:numFmt w:val="decimal"/>
      <w:lvlText w:val="%4."/>
      <w:lvlJc w:val="left"/>
      <w:pPr>
        <w:tabs>
          <w:tab w:val="num" w:pos="2160"/>
        </w:tabs>
        <w:ind w:left="2160" w:hanging="360"/>
      </w:pPr>
      <w:rPr>
        <w:rFonts w:cs="Times New Roman"/>
      </w:rPr>
    </w:lvl>
    <w:lvl w:ilvl="4" w:tplc="0C0A0019" w:tentative="1">
      <w:start w:val="1"/>
      <w:numFmt w:val="lowerLetter"/>
      <w:lvlText w:val="%5."/>
      <w:lvlJc w:val="left"/>
      <w:pPr>
        <w:tabs>
          <w:tab w:val="num" w:pos="2880"/>
        </w:tabs>
        <w:ind w:left="2880" w:hanging="360"/>
      </w:pPr>
      <w:rPr>
        <w:rFonts w:cs="Times New Roman"/>
      </w:rPr>
    </w:lvl>
    <w:lvl w:ilvl="5" w:tplc="0C0A001B" w:tentative="1">
      <w:start w:val="1"/>
      <w:numFmt w:val="lowerRoman"/>
      <w:lvlText w:val="%6."/>
      <w:lvlJc w:val="right"/>
      <w:pPr>
        <w:tabs>
          <w:tab w:val="num" w:pos="3600"/>
        </w:tabs>
        <w:ind w:left="3600" w:hanging="180"/>
      </w:pPr>
      <w:rPr>
        <w:rFonts w:cs="Times New Roman"/>
      </w:rPr>
    </w:lvl>
    <w:lvl w:ilvl="6" w:tplc="0C0A000F" w:tentative="1">
      <w:start w:val="1"/>
      <w:numFmt w:val="decimal"/>
      <w:lvlText w:val="%7."/>
      <w:lvlJc w:val="left"/>
      <w:pPr>
        <w:tabs>
          <w:tab w:val="num" w:pos="4320"/>
        </w:tabs>
        <w:ind w:left="4320" w:hanging="360"/>
      </w:pPr>
      <w:rPr>
        <w:rFonts w:cs="Times New Roman"/>
      </w:rPr>
    </w:lvl>
    <w:lvl w:ilvl="7" w:tplc="0C0A0019" w:tentative="1">
      <w:start w:val="1"/>
      <w:numFmt w:val="lowerLetter"/>
      <w:lvlText w:val="%8."/>
      <w:lvlJc w:val="left"/>
      <w:pPr>
        <w:tabs>
          <w:tab w:val="num" w:pos="5040"/>
        </w:tabs>
        <w:ind w:left="5040" w:hanging="360"/>
      </w:pPr>
      <w:rPr>
        <w:rFonts w:cs="Times New Roman"/>
      </w:rPr>
    </w:lvl>
    <w:lvl w:ilvl="8" w:tplc="0C0A001B" w:tentative="1">
      <w:start w:val="1"/>
      <w:numFmt w:val="lowerRoman"/>
      <w:lvlText w:val="%9."/>
      <w:lvlJc w:val="right"/>
      <w:pPr>
        <w:tabs>
          <w:tab w:val="num" w:pos="5760"/>
        </w:tabs>
        <w:ind w:left="5760" w:hanging="180"/>
      </w:pPr>
      <w:rPr>
        <w:rFonts w:cs="Times New Roman"/>
      </w:rPr>
    </w:lvl>
  </w:abstractNum>
  <w:abstractNum w:abstractNumId="18" w15:restartNumberingAfterBreak="0">
    <w:nsid w:val="2EB646BD"/>
    <w:multiLevelType w:val="hybridMultilevel"/>
    <w:tmpl w:val="20D869EA"/>
    <w:lvl w:ilvl="0" w:tplc="79AE75B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3115533"/>
    <w:multiLevelType w:val="hybridMultilevel"/>
    <w:tmpl w:val="E45C4BF6"/>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339D5743"/>
    <w:multiLevelType w:val="hybridMultilevel"/>
    <w:tmpl w:val="69020B8E"/>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7627773"/>
    <w:multiLevelType w:val="hybridMultilevel"/>
    <w:tmpl w:val="B202AD1C"/>
    <w:lvl w:ilvl="0" w:tplc="79FAE344">
      <w:start w:val="1"/>
      <w:numFmt w:val="bullet"/>
      <w:lvlText w:val=""/>
      <w:lvlJc w:val="left"/>
      <w:pPr>
        <w:tabs>
          <w:tab w:val="num" w:pos="360"/>
        </w:tabs>
        <w:ind w:left="360" w:hanging="360"/>
      </w:pPr>
      <w:rPr>
        <w:rFonts w:ascii="Wingdings" w:hAnsi="Wingdings" w:hint="default"/>
        <w:sz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8512BD2"/>
    <w:multiLevelType w:val="hybridMultilevel"/>
    <w:tmpl w:val="455AF2DE"/>
    <w:lvl w:ilvl="0" w:tplc="0C0A000F">
      <w:start w:val="1"/>
      <w:numFmt w:val="decimal"/>
      <w:lvlText w:val="%1."/>
      <w:lvlJc w:val="left"/>
      <w:pPr>
        <w:tabs>
          <w:tab w:val="num" w:pos="720"/>
        </w:tabs>
        <w:ind w:left="720" w:hanging="360"/>
      </w:pPr>
      <w:rPr>
        <w:rFonts w:cs="Times New Roman"/>
      </w:rPr>
    </w:lvl>
    <w:lvl w:ilvl="1" w:tplc="BEE01766">
      <w:start w:val="2"/>
      <w:numFmt w:val="upperRoman"/>
      <w:lvlText w:val="%2."/>
      <w:lvlJc w:val="left"/>
      <w:pPr>
        <w:tabs>
          <w:tab w:val="num" w:pos="1800"/>
        </w:tabs>
        <w:ind w:left="1800" w:hanging="720"/>
      </w:pPr>
      <w:rPr>
        <w:rFonts w:cs="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3E5D3D76"/>
    <w:multiLevelType w:val="hybridMultilevel"/>
    <w:tmpl w:val="4DFE78DA"/>
    <w:lvl w:ilvl="0" w:tplc="0C0A000F">
      <w:start w:val="1"/>
      <w:numFmt w:val="decimal"/>
      <w:lvlText w:val="%1."/>
      <w:lvlJc w:val="left"/>
      <w:pPr>
        <w:tabs>
          <w:tab w:val="num" w:pos="360"/>
        </w:tabs>
        <w:ind w:left="360" w:hanging="360"/>
      </w:pPr>
    </w:lvl>
    <w:lvl w:ilvl="1" w:tplc="0C0A0005">
      <w:start w:val="1"/>
      <w:numFmt w:val="bullet"/>
      <w:lvlText w:val=""/>
      <w:lvlJc w:val="left"/>
      <w:pPr>
        <w:tabs>
          <w:tab w:val="num" w:pos="1080"/>
        </w:tabs>
        <w:ind w:left="1080" w:hanging="360"/>
      </w:pPr>
      <w:rPr>
        <w:rFonts w:ascii="Wingdings" w:hAnsi="Wingdings"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4" w15:restartNumberingAfterBreak="0">
    <w:nsid w:val="3FCE718E"/>
    <w:multiLevelType w:val="hybridMultilevel"/>
    <w:tmpl w:val="3C00219C"/>
    <w:lvl w:ilvl="0" w:tplc="D214CDC8">
      <w:start w:val="1"/>
      <w:numFmt w:val="bullet"/>
      <w:lvlText w:val=""/>
      <w:lvlJc w:val="left"/>
      <w:pPr>
        <w:tabs>
          <w:tab w:val="num" w:pos="360"/>
        </w:tabs>
        <w:ind w:left="313" w:hanging="313"/>
      </w:pPr>
      <w:rPr>
        <w:rFonts w:ascii="Symbol" w:hAnsi="Symbol" w:hint="default"/>
        <w:b/>
        <w:color w:val="000000"/>
        <w:sz w:val="20"/>
        <w:szCs w:val="20"/>
      </w:rPr>
    </w:lvl>
    <w:lvl w:ilvl="1" w:tplc="FFFFFFFF">
      <w:start w:val="1"/>
      <w:numFmt w:val="lowerLetter"/>
      <w:lvlText w:val="%2)"/>
      <w:lvlJc w:val="left"/>
      <w:pPr>
        <w:tabs>
          <w:tab w:val="num" w:pos="1080"/>
        </w:tabs>
        <w:ind w:left="1080" w:hanging="360"/>
      </w:pPr>
      <w:rPr>
        <w:rFonts w:hint="default"/>
        <w:b/>
        <w:color w:val="000000"/>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0511534"/>
    <w:multiLevelType w:val="hybridMultilevel"/>
    <w:tmpl w:val="3DBA944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6" w15:restartNumberingAfterBreak="0">
    <w:nsid w:val="420E680B"/>
    <w:multiLevelType w:val="hybridMultilevel"/>
    <w:tmpl w:val="B58C389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460E4770"/>
    <w:multiLevelType w:val="hybridMultilevel"/>
    <w:tmpl w:val="97A2936E"/>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76236AE"/>
    <w:multiLevelType w:val="hybridMultilevel"/>
    <w:tmpl w:val="E5103486"/>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4C6B78C1"/>
    <w:multiLevelType w:val="hybridMultilevel"/>
    <w:tmpl w:val="91D2A678"/>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23F0649"/>
    <w:multiLevelType w:val="hybridMultilevel"/>
    <w:tmpl w:val="85F47B2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1" w15:restartNumberingAfterBreak="0">
    <w:nsid w:val="559150C4"/>
    <w:multiLevelType w:val="hybridMultilevel"/>
    <w:tmpl w:val="ECE0D0CE"/>
    <w:lvl w:ilvl="0" w:tplc="0C0A000F">
      <w:start w:val="1"/>
      <w:numFmt w:val="decimal"/>
      <w:lvlText w:val="%1."/>
      <w:lvlJc w:val="left"/>
      <w:pPr>
        <w:tabs>
          <w:tab w:val="num" w:pos="360"/>
        </w:tabs>
        <w:ind w:left="360" w:hanging="360"/>
      </w:pPr>
      <w:rPr>
        <w:rFonts w:cs="Times New Roman" w:hint="default"/>
      </w:rPr>
    </w:lvl>
    <w:lvl w:ilvl="1" w:tplc="0C0A0001">
      <w:start w:val="1"/>
      <w:numFmt w:val="bullet"/>
      <w:lvlText w:val=""/>
      <w:lvlJc w:val="left"/>
      <w:pPr>
        <w:tabs>
          <w:tab w:val="num" w:pos="1080"/>
        </w:tabs>
        <w:ind w:left="1080" w:hanging="360"/>
      </w:pPr>
      <w:rPr>
        <w:rFonts w:ascii="Symbol" w:hAnsi="Symbol" w:hint="default"/>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32" w15:restartNumberingAfterBreak="0">
    <w:nsid w:val="5BB16222"/>
    <w:multiLevelType w:val="multilevel"/>
    <w:tmpl w:val="90884E5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C6B4490"/>
    <w:multiLevelType w:val="hybridMultilevel"/>
    <w:tmpl w:val="3D4E2E24"/>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4" w15:restartNumberingAfterBreak="0">
    <w:nsid w:val="5D210BB3"/>
    <w:multiLevelType w:val="hybridMultilevel"/>
    <w:tmpl w:val="0D920D64"/>
    <w:lvl w:ilvl="0" w:tplc="79FAE344">
      <w:start w:val="1"/>
      <w:numFmt w:val="bullet"/>
      <w:lvlText w:val=""/>
      <w:lvlJc w:val="left"/>
      <w:pPr>
        <w:tabs>
          <w:tab w:val="num" w:pos="360"/>
        </w:tabs>
        <w:ind w:left="360" w:hanging="360"/>
      </w:pPr>
      <w:rPr>
        <w:rFonts w:ascii="Wingdings" w:hAnsi="Wingdings" w:hint="default"/>
        <w:sz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E176897"/>
    <w:multiLevelType w:val="hybridMultilevel"/>
    <w:tmpl w:val="4FEEAFAE"/>
    <w:lvl w:ilvl="0" w:tplc="0C0A000F">
      <w:start w:val="1"/>
      <w:numFmt w:val="decimal"/>
      <w:lvlText w:val="%1."/>
      <w:lvlJc w:val="left"/>
      <w:pPr>
        <w:tabs>
          <w:tab w:val="num" w:pos="720"/>
        </w:tabs>
        <w:ind w:left="720" w:hanging="360"/>
      </w:pPr>
      <w:rPr>
        <w:rFonts w:cs="Times New Roman"/>
      </w:rPr>
    </w:lvl>
    <w:lvl w:ilvl="1" w:tplc="EF9484A0">
      <w:start w:val="5"/>
      <w:numFmt w:val="upperRoman"/>
      <w:lvlText w:val="%2."/>
      <w:lvlJc w:val="right"/>
      <w:pPr>
        <w:tabs>
          <w:tab w:val="num" w:pos="1260"/>
        </w:tabs>
        <w:ind w:left="1260" w:hanging="180"/>
      </w:pPr>
      <w:rPr>
        <w:rFonts w:cs="Times New Roman" w:hint="default"/>
      </w:rPr>
    </w:lvl>
    <w:lvl w:ilvl="2" w:tplc="5B482DE6">
      <w:start w:val="3"/>
      <w:numFmt w:val="lowerLetter"/>
      <w:lvlText w:val="%3)"/>
      <w:lvlJc w:val="left"/>
      <w:pPr>
        <w:tabs>
          <w:tab w:val="num" w:pos="2340"/>
        </w:tabs>
        <w:ind w:left="2340" w:hanging="360"/>
      </w:pPr>
      <w:rPr>
        <w:rFonts w:cs="Times New Roman" w:hint="default"/>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65FF389D"/>
    <w:multiLevelType w:val="hybridMultilevel"/>
    <w:tmpl w:val="1716008A"/>
    <w:lvl w:ilvl="0" w:tplc="28B62DF2">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67EB6823"/>
    <w:multiLevelType w:val="hybridMultilevel"/>
    <w:tmpl w:val="D8245F48"/>
    <w:lvl w:ilvl="0" w:tplc="E1EEF57A">
      <w:start w:val="4"/>
      <w:numFmt w:val="upperRoman"/>
      <w:lvlText w:val="%1."/>
      <w:lvlJc w:val="left"/>
      <w:pPr>
        <w:tabs>
          <w:tab w:val="num" w:pos="1080"/>
        </w:tabs>
        <w:ind w:left="1080" w:hanging="72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688917A3"/>
    <w:multiLevelType w:val="hybridMultilevel"/>
    <w:tmpl w:val="3AA64E90"/>
    <w:lvl w:ilvl="0" w:tplc="6AD84A88">
      <w:start w:val="1"/>
      <w:numFmt w:val="decimal"/>
      <w:lvlText w:val="%1."/>
      <w:lvlJc w:val="left"/>
      <w:pPr>
        <w:tabs>
          <w:tab w:val="num" w:pos="1428"/>
        </w:tabs>
        <w:ind w:left="1428" w:hanging="360"/>
      </w:pPr>
      <w:rPr>
        <w:rFonts w:cs="Times New Roman" w:hint="default"/>
      </w:rPr>
    </w:lvl>
    <w:lvl w:ilvl="1" w:tplc="C71ADB56">
      <w:numFmt w:val="none"/>
      <w:lvlText w:val=""/>
      <w:lvlJc w:val="left"/>
      <w:pPr>
        <w:tabs>
          <w:tab w:val="num" w:pos="360"/>
        </w:tabs>
      </w:pPr>
      <w:rPr>
        <w:rFonts w:cs="Times New Roman"/>
      </w:rPr>
    </w:lvl>
    <w:lvl w:ilvl="2" w:tplc="0A2A4A5A">
      <w:numFmt w:val="none"/>
      <w:lvlText w:val=""/>
      <w:lvlJc w:val="left"/>
      <w:pPr>
        <w:tabs>
          <w:tab w:val="num" w:pos="360"/>
        </w:tabs>
      </w:pPr>
      <w:rPr>
        <w:rFonts w:cs="Times New Roman"/>
      </w:rPr>
    </w:lvl>
    <w:lvl w:ilvl="3" w:tplc="EED888BA">
      <w:numFmt w:val="none"/>
      <w:lvlText w:val=""/>
      <w:lvlJc w:val="left"/>
      <w:pPr>
        <w:tabs>
          <w:tab w:val="num" w:pos="360"/>
        </w:tabs>
      </w:pPr>
      <w:rPr>
        <w:rFonts w:cs="Times New Roman"/>
      </w:rPr>
    </w:lvl>
    <w:lvl w:ilvl="4" w:tplc="D05ABFE6">
      <w:numFmt w:val="none"/>
      <w:lvlText w:val=""/>
      <w:lvlJc w:val="left"/>
      <w:pPr>
        <w:tabs>
          <w:tab w:val="num" w:pos="360"/>
        </w:tabs>
      </w:pPr>
      <w:rPr>
        <w:rFonts w:cs="Times New Roman"/>
      </w:rPr>
    </w:lvl>
    <w:lvl w:ilvl="5" w:tplc="777684A0">
      <w:numFmt w:val="none"/>
      <w:lvlText w:val=""/>
      <w:lvlJc w:val="left"/>
      <w:pPr>
        <w:tabs>
          <w:tab w:val="num" w:pos="360"/>
        </w:tabs>
      </w:pPr>
      <w:rPr>
        <w:rFonts w:cs="Times New Roman"/>
      </w:rPr>
    </w:lvl>
    <w:lvl w:ilvl="6" w:tplc="95767680">
      <w:numFmt w:val="none"/>
      <w:lvlText w:val=""/>
      <w:lvlJc w:val="left"/>
      <w:pPr>
        <w:tabs>
          <w:tab w:val="num" w:pos="360"/>
        </w:tabs>
      </w:pPr>
      <w:rPr>
        <w:rFonts w:cs="Times New Roman"/>
      </w:rPr>
    </w:lvl>
    <w:lvl w:ilvl="7" w:tplc="7C8A38F4">
      <w:numFmt w:val="none"/>
      <w:lvlText w:val=""/>
      <w:lvlJc w:val="left"/>
      <w:pPr>
        <w:tabs>
          <w:tab w:val="num" w:pos="360"/>
        </w:tabs>
      </w:pPr>
      <w:rPr>
        <w:rFonts w:cs="Times New Roman"/>
      </w:rPr>
    </w:lvl>
    <w:lvl w:ilvl="8" w:tplc="6B202A00">
      <w:numFmt w:val="none"/>
      <w:lvlText w:val=""/>
      <w:lvlJc w:val="left"/>
      <w:pPr>
        <w:tabs>
          <w:tab w:val="num" w:pos="360"/>
        </w:tabs>
      </w:pPr>
      <w:rPr>
        <w:rFonts w:cs="Times New Roman"/>
      </w:rPr>
    </w:lvl>
  </w:abstractNum>
  <w:abstractNum w:abstractNumId="39" w15:restartNumberingAfterBreak="0">
    <w:nsid w:val="697B5F73"/>
    <w:multiLevelType w:val="hybridMultilevel"/>
    <w:tmpl w:val="D92AC9FC"/>
    <w:lvl w:ilvl="0" w:tplc="79AE75B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6A8F4F50"/>
    <w:multiLevelType w:val="hybridMultilevel"/>
    <w:tmpl w:val="CCFC79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6AD25A26"/>
    <w:multiLevelType w:val="hybridMultilevel"/>
    <w:tmpl w:val="95B60214"/>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CE967CE"/>
    <w:multiLevelType w:val="hybridMultilevel"/>
    <w:tmpl w:val="D49A9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8B634A"/>
    <w:multiLevelType w:val="hybridMultilevel"/>
    <w:tmpl w:val="C786F0CC"/>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20"/>
  </w:num>
  <w:num w:numId="3">
    <w:abstractNumId w:val="35"/>
  </w:num>
  <w:num w:numId="4">
    <w:abstractNumId w:val="5"/>
  </w:num>
  <w:num w:numId="5">
    <w:abstractNumId w:val="22"/>
  </w:num>
  <w:num w:numId="6">
    <w:abstractNumId w:val="41"/>
  </w:num>
  <w:num w:numId="7">
    <w:abstractNumId w:val="38"/>
  </w:num>
  <w:num w:numId="8">
    <w:abstractNumId w:val="3"/>
  </w:num>
  <w:num w:numId="9">
    <w:abstractNumId w:val="37"/>
  </w:num>
  <w:num w:numId="10">
    <w:abstractNumId w:val="17"/>
  </w:num>
  <w:num w:numId="11">
    <w:abstractNumId w:val="4"/>
  </w:num>
  <w:num w:numId="12">
    <w:abstractNumId w:val="28"/>
  </w:num>
  <w:num w:numId="13">
    <w:abstractNumId w:val="10"/>
  </w:num>
  <w:num w:numId="14">
    <w:abstractNumId w:val="7"/>
  </w:num>
  <w:num w:numId="15">
    <w:abstractNumId w:val="15"/>
  </w:num>
  <w:num w:numId="16">
    <w:abstractNumId w:val="23"/>
  </w:num>
  <w:num w:numId="17">
    <w:abstractNumId w:val="21"/>
  </w:num>
  <w:num w:numId="18">
    <w:abstractNumId w:val="34"/>
  </w:num>
  <w:num w:numId="19">
    <w:abstractNumId w:val="13"/>
  </w:num>
  <w:num w:numId="20">
    <w:abstractNumId w:val="1"/>
  </w:num>
  <w:num w:numId="21">
    <w:abstractNumId w:val="6"/>
  </w:num>
  <w:num w:numId="22">
    <w:abstractNumId w:val="24"/>
  </w:num>
  <w:num w:numId="23">
    <w:abstractNumId w:val="0"/>
  </w:num>
  <w:num w:numId="24">
    <w:abstractNumId w:val="32"/>
  </w:num>
  <w:num w:numId="25">
    <w:abstractNumId w:val="43"/>
  </w:num>
  <w:num w:numId="26">
    <w:abstractNumId w:val="14"/>
  </w:num>
  <w:num w:numId="27">
    <w:abstractNumId w:val="8"/>
  </w:num>
  <w:num w:numId="28">
    <w:abstractNumId w:val="33"/>
  </w:num>
  <w:num w:numId="29">
    <w:abstractNumId w:val="27"/>
  </w:num>
  <w:num w:numId="30">
    <w:abstractNumId w:val="31"/>
  </w:num>
  <w:num w:numId="31">
    <w:abstractNumId w:val="19"/>
  </w:num>
  <w:num w:numId="32">
    <w:abstractNumId w:val="2"/>
  </w:num>
  <w:num w:numId="33">
    <w:abstractNumId w:val="11"/>
  </w:num>
  <w:num w:numId="34">
    <w:abstractNumId w:val="36"/>
  </w:num>
  <w:num w:numId="35">
    <w:abstractNumId w:val="30"/>
  </w:num>
  <w:num w:numId="36">
    <w:abstractNumId w:val="25"/>
  </w:num>
  <w:num w:numId="37">
    <w:abstractNumId w:val="26"/>
  </w:num>
  <w:num w:numId="38">
    <w:abstractNumId w:val="40"/>
  </w:num>
  <w:num w:numId="39">
    <w:abstractNumId w:val="42"/>
  </w:num>
  <w:num w:numId="40">
    <w:abstractNumId w:val="9"/>
  </w:num>
  <w:num w:numId="41">
    <w:abstractNumId w:val="39"/>
  </w:num>
  <w:num w:numId="42">
    <w:abstractNumId w:val="12"/>
  </w:num>
  <w:num w:numId="43">
    <w:abstractNumId w:val="18"/>
  </w:num>
  <w:num w:numId="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9BE"/>
    <w:rsid w:val="000006E2"/>
    <w:rsid w:val="00000C59"/>
    <w:rsid w:val="00002CC0"/>
    <w:rsid w:val="00003F8A"/>
    <w:rsid w:val="0000406B"/>
    <w:rsid w:val="000042E3"/>
    <w:rsid w:val="00006045"/>
    <w:rsid w:val="000063B6"/>
    <w:rsid w:val="00006823"/>
    <w:rsid w:val="00007EAE"/>
    <w:rsid w:val="000100D8"/>
    <w:rsid w:val="00010C9A"/>
    <w:rsid w:val="00010CD1"/>
    <w:rsid w:val="000111A3"/>
    <w:rsid w:val="00011B02"/>
    <w:rsid w:val="00012281"/>
    <w:rsid w:val="00012582"/>
    <w:rsid w:val="00012714"/>
    <w:rsid w:val="00012D57"/>
    <w:rsid w:val="000134B8"/>
    <w:rsid w:val="000145E6"/>
    <w:rsid w:val="000153C5"/>
    <w:rsid w:val="0001646D"/>
    <w:rsid w:val="00017563"/>
    <w:rsid w:val="000175CA"/>
    <w:rsid w:val="000178B1"/>
    <w:rsid w:val="0002037A"/>
    <w:rsid w:val="000203F0"/>
    <w:rsid w:val="00020A21"/>
    <w:rsid w:val="0002139C"/>
    <w:rsid w:val="00021A18"/>
    <w:rsid w:val="00021B89"/>
    <w:rsid w:val="00021EB4"/>
    <w:rsid w:val="000222E3"/>
    <w:rsid w:val="00022611"/>
    <w:rsid w:val="00022D41"/>
    <w:rsid w:val="00023870"/>
    <w:rsid w:val="0002397C"/>
    <w:rsid w:val="000241B4"/>
    <w:rsid w:val="000253B3"/>
    <w:rsid w:val="0002661C"/>
    <w:rsid w:val="00027527"/>
    <w:rsid w:val="000306D7"/>
    <w:rsid w:val="00031024"/>
    <w:rsid w:val="0003158E"/>
    <w:rsid w:val="00031D15"/>
    <w:rsid w:val="00031DA1"/>
    <w:rsid w:val="00032288"/>
    <w:rsid w:val="00032900"/>
    <w:rsid w:val="00032A6E"/>
    <w:rsid w:val="00032CBA"/>
    <w:rsid w:val="00032D7A"/>
    <w:rsid w:val="00032DC5"/>
    <w:rsid w:val="000332BA"/>
    <w:rsid w:val="00034CEC"/>
    <w:rsid w:val="00035116"/>
    <w:rsid w:val="00035DD0"/>
    <w:rsid w:val="00035FEA"/>
    <w:rsid w:val="00036EC1"/>
    <w:rsid w:val="00036FF9"/>
    <w:rsid w:val="000372D8"/>
    <w:rsid w:val="000406D2"/>
    <w:rsid w:val="00040F63"/>
    <w:rsid w:val="000411DF"/>
    <w:rsid w:val="00041897"/>
    <w:rsid w:val="00041A9A"/>
    <w:rsid w:val="000420F6"/>
    <w:rsid w:val="00043C18"/>
    <w:rsid w:val="00044653"/>
    <w:rsid w:val="000449CB"/>
    <w:rsid w:val="00045572"/>
    <w:rsid w:val="0004631C"/>
    <w:rsid w:val="00047139"/>
    <w:rsid w:val="00050144"/>
    <w:rsid w:val="0005060E"/>
    <w:rsid w:val="00050E43"/>
    <w:rsid w:val="00050E7E"/>
    <w:rsid w:val="00050F9A"/>
    <w:rsid w:val="00051C43"/>
    <w:rsid w:val="00051CA7"/>
    <w:rsid w:val="000526C4"/>
    <w:rsid w:val="00052BD0"/>
    <w:rsid w:val="000531CB"/>
    <w:rsid w:val="00053368"/>
    <w:rsid w:val="00053AF8"/>
    <w:rsid w:val="00055AA0"/>
    <w:rsid w:val="00055AFA"/>
    <w:rsid w:val="00055CFF"/>
    <w:rsid w:val="00056C18"/>
    <w:rsid w:val="00056D60"/>
    <w:rsid w:val="000571EE"/>
    <w:rsid w:val="0005722B"/>
    <w:rsid w:val="000574B0"/>
    <w:rsid w:val="000576FF"/>
    <w:rsid w:val="00060DAA"/>
    <w:rsid w:val="00060F11"/>
    <w:rsid w:val="00061D5D"/>
    <w:rsid w:val="00062340"/>
    <w:rsid w:val="00062816"/>
    <w:rsid w:val="00063158"/>
    <w:rsid w:val="0006365D"/>
    <w:rsid w:val="00063769"/>
    <w:rsid w:val="00063B90"/>
    <w:rsid w:val="00064806"/>
    <w:rsid w:val="00064C68"/>
    <w:rsid w:val="00064D8B"/>
    <w:rsid w:val="0006565B"/>
    <w:rsid w:val="00065BAA"/>
    <w:rsid w:val="00066667"/>
    <w:rsid w:val="000669B8"/>
    <w:rsid w:val="00067244"/>
    <w:rsid w:val="000679DB"/>
    <w:rsid w:val="00070D5F"/>
    <w:rsid w:val="00071056"/>
    <w:rsid w:val="0007186D"/>
    <w:rsid w:val="00071BCE"/>
    <w:rsid w:val="00071DE4"/>
    <w:rsid w:val="000720F0"/>
    <w:rsid w:val="00073D4B"/>
    <w:rsid w:val="00074687"/>
    <w:rsid w:val="00075397"/>
    <w:rsid w:val="00076260"/>
    <w:rsid w:val="0007659E"/>
    <w:rsid w:val="00076753"/>
    <w:rsid w:val="00076ED3"/>
    <w:rsid w:val="00077ACF"/>
    <w:rsid w:val="00081137"/>
    <w:rsid w:val="00081287"/>
    <w:rsid w:val="000818FE"/>
    <w:rsid w:val="00081EA2"/>
    <w:rsid w:val="00081FF8"/>
    <w:rsid w:val="00082081"/>
    <w:rsid w:val="000824C7"/>
    <w:rsid w:val="00082B59"/>
    <w:rsid w:val="00082ECA"/>
    <w:rsid w:val="000830C1"/>
    <w:rsid w:val="0008337C"/>
    <w:rsid w:val="000836A6"/>
    <w:rsid w:val="00083846"/>
    <w:rsid w:val="00083B14"/>
    <w:rsid w:val="0008408B"/>
    <w:rsid w:val="000847DA"/>
    <w:rsid w:val="00084D51"/>
    <w:rsid w:val="0008502F"/>
    <w:rsid w:val="000854B9"/>
    <w:rsid w:val="000857CD"/>
    <w:rsid w:val="0008583B"/>
    <w:rsid w:val="00085F0B"/>
    <w:rsid w:val="00086225"/>
    <w:rsid w:val="00086700"/>
    <w:rsid w:val="00086914"/>
    <w:rsid w:val="00086D68"/>
    <w:rsid w:val="00086DAA"/>
    <w:rsid w:val="0008742F"/>
    <w:rsid w:val="00087EF8"/>
    <w:rsid w:val="00087FCE"/>
    <w:rsid w:val="00087FE7"/>
    <w:rsid w:val="00090393"/>
    <w:rsid w:val="000903BF"/>
    <w:rsid w:val="00091010"/>
    <w:rsid w:val="000912E3"/>
    <w:rsid w:val="00091EEC"/>
    <w:rsid w:val="00092FBC"/>
    <w:rsid w:val="00093BC9"/>
    <w:rsid w:val="00093F02"/>
    <w:rsid w:val="000940DC"/>
    <w:rsid w:val="00095934"/>
    <w:rsid w:val="000959E3"/>
    <w:rsid w:val="00095E2C"/>
    <w:rsid w:val="0009627F"/>
    <w:rsid w:val="0009696F"/>
    <w:rsid w:val="000A031D"/>
    <w:rsid w:val="000A03A2"/>
    <w:rsid w:val="000A0433"/>
    <w:rsid w:val="000A04AA"/>
    <w:rsid w:val="000A05E0"/>
    <w:rsid w:val="000A0D7B"/>
    <w:rsid w:val="000A15A2"/>
    <w:rsid w:val="000A1A9C"/>
    <w:rsid w:val="000A27EA"/>
    <w:rsid w:val="000A29F4"/>
    <w:rsid w:val="000A33E2"/>
    <w:rsid w:val="000A4074"/>
    <w:rsid w:val="000A49D5"/>
    <w:rsid w:val="000A5064"/>
    <w:rsid w:val="000A5615"/>
    <w:rsid w:val="000A5872"/>
    <w:rsid w:val="000A5CC4"/>
    <w:rsid w:val="000A6001"/>
    <w:rsid w:val="000A6672"/>
    <w:rsid w:val="000A66C5"/>
    <w:rsid w:val="000A7666"/>
    <w:rsid w:val="000A7B2A"/>
    <w:rsid w:val="000B02B9"/>
    <w:rsid w:val="000B04DD"/>
    <w:rsid w:val="000B0810"/>
    <w:rsid w:val="000B1E49"/>
    <w:rsid w:val="000B23DE"/>
    <w:rsid w:val="000B24B8"/>
    <w:rsid w:val="000B27FD"/>
    <w:rsid w:val="000B292C"/>
    <w:rsid w:val="000B3D53"/>
    <w:rsid w:val="000B3F2A"/>
    <w:rsid w:val="000B471E"/>
    <w:rsid w:val="000B4989"/>
    <w:rsid w:val="000B56BC"/>
    <w:rsid w:val="000B5847"/>
    <w:rsid w:val="000B5FB0"/>
    <w:rsid w:val="000B674D"/>
    <w:rsid w:val="000B6CAE"/>
    <w:rsid w:val="000B7338"/>
    <w:rsid w:val="000B75D8"/>
    <w:rsid w:val="000B7E64"/>
    <w:rsid w:val="000B7FB4"/>
    <w:rsid w:val="000C0564"/>
    <w:rsid w:val="000C1444"/>
    <w:rsid w:val="000C209D"/>
    <w:rsid w:val="000C2851"/>
    <w:rsid w:val="000C29EA"/>
    <w:rsid w:val="000C2B9E"/>
    <w:rsid w:val="000C2C83"/>
    <w:rsid w:val="000C2F04"/>
    <w:rsid w:val="000C30BD"/>
    <w:rsid w:val="000C35DE"/>
    <w:rsid w:val="000C48D8"/>
    <w:rsid w:val="000C57E4"/>
    <w:rsid w:val="000C602F"/>
    <w:rsid w:val="000C7A5A"/>
    <w:rsid w:val="000D0252"/>
    <w:rsid w:val="000D21D1"/>
    <w:rsid w:val="000D23EC"/>
    <w:rsid w:val="000D282B"/>
    <w:rsid w:val="000D3902"/>
    <w:rsid w:val="000D3AC0"/>
    <w:rsid w:val="000D4B13"/>
    <w:rsid w:val="000D4F10"/>
    <w:rsid w:val="000D5483"/>
    <w:rsid w:val="000D5F46"/>
    <w:rsid w:val="000D6A30"/>
    <w:rsid w:val="000D6D85"/>
    <w:rsid w:val="000D752E"/>
    <w:rsid w:val="000D75DF"/>
    <w:rsid w:val="000D77BB"/>
    <w:rsid w:val="000E0605"/>
    <w:rsid w:val="000E088D"/>
    <w:rsid w:val="000E0E5A"/>
    <w:rsid w:val="000E0E64"/>
    <w:rsid w:val="000E18E5"/>
    <w:rsid w:val="000E1AFB"/>
    <w:rsid w:val="000E1D14"/>
    <w:rsid w:val="000E2094"/>
    <w:rsid w:val="000E2FD5"/>
    <w:rsid w:val="000E326B"/>
    <w:rsid w:val="000E3F3F"/>
    <w:rsid w:val="000E47A8"/>
    <w:rsid w:val="000E5AB2"/>
    <w:rsid w:val="000E5E90"/>
    <w:rsid w:val="000E61F7"/>
    <w:rsid w:val="000E69AF"/>
    <w:rsid w:val="000E7079"/>
    <w:rsid w:val="000E7238"/>
    <w:rsid w:val="000E734C"/>
    <w:rsid w:val="000E778B"/>
    <w:rsid w:val="000E7878"/>
    <w:rsid w:val="000E7B1B"/>
    <w:rsid w:val="000E7BEB"/>
    <w:rsid w:val="000F069B"/>
    <w:rsid w:val="000F06A7"/>
    <w:rsid w:val="000F0895"/>
    <w:rsid w:val="000F0B42"/>
    <w:rsid w:val="000F0D16"/>
    <w:rsid w:val="000F0D57"/>
    <w:rsid w:val="000F0E65"/>
    <w:rsid w:val="000F115A"/>
    <w:rsid w:val="000F40EA"/>
    <w:rsid w:val="000F56D3"/>
    <w:rsid w:val="000F57B4"/>
    <w:rsid w:val="000F7ECD"/>
    <w:rsid w:val="00101D51"/>
    <w:rsid w:val="001020B0"/>
    <w:rsid w:val="0010249B"/>
    <w:rsid w:val="001025AC"/>
    <w:rsid w:val="0010312D"/>
    <w:rsid w:val="0010364F"/>
    <w:rsid w:val="00103677"/>
    <w:rsid w:val="001044BF"/>
    <w:rsid w:val="00104C61"/>
    <w:rsid w:val="00105385"/>
    <w:rsid w:val="001059CD"/>
    <w:rsid w:val="00107576"/>
    <w:rsid w:val="00107B7B"/>
    <w:rsid w:val="00110419"/>
    <w:rsid w:val="00110531"/>
    <w:rsid w:val="0011053A"/>
    <w:rsid w:val="0011073D"/>
    <w:rsid w:val="00110A72"/>
    <w:rsid w:val="0011167D"/>
    <w:rsid w:val="00111B1E"/>
    <w:rsid w:val="001136E8"/>
    <w:rsid w:val="00113A4F"/>
    <w:rsid w:val="00115314"/>
    <w:rsid w:val="00115CF2"/>
    <w:rsid w:val="0011619E"/>
    <w:rsid w:val="00116D88"/>
    <w:rsid w:val="001174CC"/>
    <w:rsid w:val="00117B1E"/>
    <w:rsid w:val="00120B2D"/>
    <w:rsid w:val="00120C6B"/>
    <w:rsid w:val="00120DC0"/>
    <w:rsid w:val="00121C2B"/>
    <w:rsid w:val="001222AD"/>
    <w:rsid w:val="00124D89"/>
    <w:rsid w:val="001254A2"/>
    <w:rsid w:val="00125EB3"/>
    <w:rsid w:val="00126140"/>
    <w:rsid w:val="0012738F"/>
    <w:rsid w:val="0012791E"/>
    <w:rsid w:val="00127F6B"/>
    <w:rsid w:val="00130308"/>
    <w:rsid w:val="00131BD2"/>
    <w:rsid w:val="00131C68"/>
    <w:rsid w:val="00132314"/>
    <w:rsid w:val="00133228"/>
    <w:rsid w:val="00133770"/>
    <w:rsid w:val="00133866"/>
    <w:rsid w:val="00133DE5"/>
    <w:rsid w:val="00133F91"/>
    <w:rsid w:val="001340E1"/>
    <w:rsid w:val="0013434F"/>
    <w:rsid w:val="00134DFA"/>
    <w:rsid w:val="0013513D"/>
    <w:rsid w:val="0013532A"/>
    <w:rsid w:val="00135791"/>
    <w:rsid w:val="00135E30"/>
    <w:rsid w:val="00135E52"/>
    <w:rsid w:val="00136DBC"/>
    <w:rsid w:val="00136EDC"/>
    <w:rsid w:val="00137A80"/>
    <w:rsid w:val="00137AD4"/>
    <w:rsid w:val="00140B4F"/>
    <w:rsid w:val="00140D8A"/>
    <w:rsid w:val="00140E6B"/>
    <w:rsid w:val="00140F03"/>
    <w:rsid w:val="00141F86"/>
    <w:rsid w:val="0014271A"/>
    <w:rsid w:val="00142AB6"/>
    <w:rsid w:val="00143BCB"/>
    <w:rsid w:val="001445D0"/>
    <w:rsid w:val="001461BF"/>
    <w:rsid w:val="0014653E"/>
    <w:rsid w:val="0014775E"/>
    <w:rsid w:val="0015016B"/>
    <w:rsid w:val="001501A3"/>
    <w:rsid w:val="0015038D"/>
    <w:rsid w:val="001523FD"/>
    <w:rsid w:val="00153F6B"/>
    <w:rsid w:val="00154832"/>
    <w:rsid w:val="00154DE5"/>
    <w:rsid w:val="00154E07"/>
    <w:rsid w:val="0015532A"/>
    <w:rsid w:val="00155432"/>
    <w:rsid w:val="00155E8A"/>
    <w:rsid w:val="00157254"/>
    <w:rsid w:val="001572BC"/>
    <w:rsid w:val="001576BD"/>
    <w:rsid w:val="001579C3"/>
    <w:rsid w:val="00157A11"/>
    <w:rsid w:val="00157FB9"/>
    <w:rsid w:val="00157FD8"/>
    <w:rsid w:val="001603E5"/>
    <w:rsid w:val="00160C23"/>
    <w:rsid w:val="00160CC5"/>
    <w:rsid w:val="00161892"/>
    <w:rsid w:val="00162232"/>
    <w:rsid w:val="001623CE"/>
    <w:rsid w:val="0016443E"/>
    <w:rsid w:val="00164918"/>
    <w:rsid w:val="00164C9A"/>
    <w:rsid w:val="00164F6C"/>
    <w:rsid w:val="001656DB"/>
    <w:rsid w:val="0016585C"/>
    <w:rsid w:val="001664A8"/>
    <w:rsid w:val="00166985"/>
    <w:rsid w:val="00166B46"/>
    <w:rsid w:val="00166D7F"/>
    <w:rsid w:val="00167734"/>
    <w:rsid w:val="00170104"/>
    <w:rsid w:val="00171104"/>
    <w:rsid w:val="001711E9"/>
    <w:rsid w:val="001714E4"/>
    <w:rsid w:val="00171AAD"/>
    <w:rsid w:val="0017221C"/>
    <w:rsid w:val="00172E70"/>
    <w:rsid w:val="00173499"/>
    <w:rsid w:val="0017561C"/>
    <w:rsid w:val="0017577F"/>
    <w:rsid w:val="001773D4"/>
    <w:rsid w:val="00177565"/>
    <w:rsid w:val="001776D8"/>
    <w:rsid w:val="00177B39"/>
    <w:rsid w:val="00177F1C"/>
    <w:rsid w:val="001809CF"/>
    <w:rsid w:val="001810B9"/>
    <w:rsid w:val="001816AE"/>
    <w:rsid w:val="00181F19"/>
    <w:rsid w:val="001821CF"/>
    <w:rsid w:val="00182667"/>
    <w:rsid w:val="00182FFB"/>
    <w:rsid w:val="00183833"/>
    <w:rsid w:val="001844BF"/>
    <w:rsid w:val="00186616"/>
    <w:rsid w:val="00186C28"/>
    <w:rsid w:val="00186D28"/>
    <w:rsid w:val="00187B9F"/>
    <w:rsid w:val="00187E3E"/>
    <w:rsid w:val="001908DC"/>
    <w:rsid w:val="00190AF8"/>
    <w:rsid w:val="00191158"/>
    <w:rsid w:val="00191591"/>
    <w:rsid w:val="00192713"/>
    <w:rsid w:val="0019316A"/>
    <w:rsid w:val="00193C08"/>
    <w:rsid w:val="0019466D"/>
    <w:rsid w:val="00195054"/>
    <w:rsid w:val="00195299"/>
    <w:rsid w:val="00195703"/>
    <w:rsid w:val="00195C11"/>
    <w:rsid w:val="00196EE1"/>
    <w:rsid w:val="00196FE6"/>
    <w:rsid w:val="00197028"/>
    <w:rsid w:val="001970F0"/>
    <w:rsid w:val="00197D89"/>
    <w:rsid w:val="001A050C"/>
    <w:rsid w:val="001A09B0"/>
    <w:rsid w:val="001A112D"/>
    <w:rsid w:val="001A1B55"/>
    <w:rsid w:val="001A1E68"/>
    <w:rsid w:val="001A2476"/>
    <w:rsid w:val="001A3071"/>
    <w:rsid w:val="001A309D"/>
    <w:rsid w:val="001A39E5"/>
    <w:rsid w:val="001A499A"/>
    <w:rsid w:val="001A4A40"/>
    <w:rsid w:val="001A5607"/>
    <w:rsid w:val="001A58D1"/>
    <w:rsid w:val="001A6A47"/>
    <w:rsid w:val="001A6B08"/>
    <w:rsid w:val="001A7BA2"/>
    <w:rsid w:val="001B0636"/>
    <w:rsid w:val="001B14B0"/>
    <w:rsid w:val="001B172C"/>
    <w:rsid w:val="001B1C32"/>
    <w:rsid w:val="001B22D0"/>
    <w:rsid w:val="001B2458"/>
    <w:rsid w:val="001B2CF2"/>
    <w:rsid w:val="001B2CF7"/>
    <w:rsid w:val="001B2F11"/>
    <w:rsid w:val="001B2FF4"/>
    <w:rsid w:val="001B3F99"/>
    <w:rsid w:val="001B5AD2"/>
    <w:rsid w:val="001B5C60"/>
    <w:rsid w:val="001B61A2"/>
    <w:rsid w:val="001B7852"/>
    <w:rsid w:val="001B7AB4"/>
    <w:rsid w:val="001C0FB7"/>
    <w:rsid w:val="001C11E7"/>
    <w:rsid w:val="001C19EA"/>
    <w:rsid w:val="001C1EEB"/>
    <w:rsid w:val="001C239E"/>
    <w:rsid w:val="001C2499"/>
    <w:rsid w:val="001C382B"/>
    <w:rsid w:val="001C4033"/>
    <w:rsid w:val="001C41D6"/>
    <w:rsid w:val="001C41E4"/>
    <w:rsid w:val="001C427A"/>
    <w:rsid w:val="001C47F2"/>
    <w:rsid w:val="001C52AA"/>
    <w:rsid w:val="001C58D0"/>
    <w:rsid w:val="001C59E4"/>
    <w:rsid w:val="001C5F34"/>
    <w:rsid w:val="001C6DA9"/>
    <w:rsid w:val="001D0059"/>
    <w:rsid w:val="001D06F2"/>
    <w:rsid w:val="001D1CC4"/>
    <w:rsid w:val="001D2002"/>
    <w:rsid w:val="001D21C2"/>
    <w:rsid w:val="001D23BC"/>
    <w:rsid w:val="001D24DA"/>
    <w:rsid w:val="001D3900"/>
    <w:rsid w:val="001D4302"/>
    <w:rsid w:val="001D4D37"/>
    <w:rsid w:val="001D4E80"/>
    <w:rsid w:val="001D58C3"/>
    <w:rsid w:val="001D58D3"/>
    <w:rsid w:val="001D6AD1"/>
    <w:rsid w:val="001D7C5A"/>
    <w:rsid w:val="001D7E2E"/>
    <w:rsid w:val="001E08A1"/>
    <w:rsid w:val="001E0E98"/>
    <w:rsid w:val="001E1EC4"/>
    <w:rsid w:val="001E1F1E"/>
    <w:rsid w:val="001E2735"/>
    <w:rsid w:val="001E2756"/>
    <w:rsid w:val="001E336D"/>
    <w:rsid w:val="001E3802"/>
    <w:rsid w:val="001E3B84"/>
    <w:rsid w:val="001E3D04"/>
    <w:rsid w:val="001E41DA"/>
    <w:rsid w:val="001E4A58"/>
    <w:rsid w:val="001E4B4F"/>
    <w:rsid w:val="001E63DB"/>
    <w:rsid w:val="001E67EF"/>
    <w:rsid w:val="001E6D95"/>
    <w:rsid w:val="001E7561"/>
    <w:rsid w:val="001E7966"/>
    <w:rsid w:val="001E796E"/>
    <w:rsid w:val="001E7DC5"/>
    <w:rsid w:val="001F01FC"/>
    <w:rsid w:val="001F062D"/>
    <w:rsid w:val="001F0B90"/>
    <w:rsid w:val="001F2164"/>
    <w:rsid w:val="001F2A6D"/>
    <w:rsid w:val="001F2DD7"/>
    <w:rsid w:val="001F33A9"/>
    <w:rsid w:val="001F359E"/>
    <w:rsid w:val="001F387D"/>
    <w:rsid w:val="001F3CB0"/>
    <w:rsid w:val="001F3D15"/>
    <w:rsid w:val="001F4C4C"/>
    <w:rsid w:val="001F5290"/>
    <w:rsid w:val="001F66C2"/>
    <w:rsid w:val="001F6BFF"/>
    <w:rsid w:val="001F6F83"/>
    <w:rsid w:val="001F76B9"/>
    <w:rsid w:val="001F7ACA"/>
    <w:rsid w:val="001F7F02"/>
    <w:rsid w:val="002001DF"/>
    <w:rsid w:val="00200529"/>
    <w:rsid w:val="00200589"/>
    <w:rsid w:val="0020071B"/>
    <w:rsid w:val="00200FFC"/>
    <w:rsid w:val="0020117D"/>
    <w:rsid w:val="0020181E"/>
    <w:rsid w:val="0020256F"/>
    <w:rsid w:val="0020285F"/>
    <w:rsid w:val="00202C87"/>
    <w:rsid w:val="0020384E"/>
    <w:rsid w:val="002056D9"/>
    <w:rsid w:val="00205A3B"/>
    <w:rsid w:val="002069D4"/>
    <w:rsid w:val="00206E98"/>
    <w:rsid w:val="002074B7"/>
    <w:rsid w:val="0020769C"/>
    <w:rsid w:val="00210120"/>
    <w:rsid w:val="002104E5"/>
    <w:rsid w:val="002105B8"/>
    <w:rsid w:val="00210797"/>
    <w:rsid w:val="00210AB6"/>
    <w:rsid w:val="00210D0B"/>
    <w:rsid w:val="00211BCE"/>
    <w:rsid w:val="002121BC"/>
    <w:rsid w:val="00214118"/>
    <w:rsid w:val="00214820"/>
    <w:rsid w:val="00214F81"/>
    <w:rsid w:val="00215121"/>
    <w:rsid w:val="00215842"/>
    <w:rsid w:val="002201CC"/>
    <w:rsid w:val="00220EFA"/>
    <w:rsid w:val="00220F03"/>
    <w:rsid w:val="00221790"/>
    <w:rsid w:val="00221AA9"/>
    <w:rsid w:val="00222B58"/>
    <w:rsid w:val="00223171"/>
    <w:rsid w:val="00224AA4"/>
    <w:rsid w:val="00224C4C"/>
    <w:rsid w:val="00225808"/>
    <w:rsid w:val="002266E8"/>
    <w:rsid w:val="0022671E"/>
    <w:rsid w:val="00226C32"/>
    <w:rsid w:val="002305A2"/>
    <w:rsid w:val="00230905"/>
    <w:rsid w:val="00230EE1"/>
    <w:rsid w:val="00231E56"/>
    <w:rsid w:val="00231EFC"/>
    <w:rsid w:val="00232331"/>
    <w:rsid w:val="00233239"/>
    <w:rsid w:val="002333E5"/>
    <w:rsid w:val="00233705"/>
    <w:rsid w:val="0023470A"/>
    <w:rsid w:val="002349E3"/>
    <w:rsid w:val="00234CD9"/>
    <w:rsid w:val="002366C7"/>
    <w:rsid w:val="002370E4"/>
    <w:rsid w:val="002374ED"/>
    <w:rsid w:val="00240CF7"/>
    <w:rsid w:val="00240E52"/>
    <w:rsid w:val="00241849"/>
    <w:rsid w:val="00241FC8"/>
    <w:rsid w:val="0024210D"/>
    <w:rsid w:val="0024215C"/>
    <w:rsid w:val="002421D8"/>
    <w:rsid w:val="00242333"/>
    <w:rsid w:val="00242C00"/>
    <w:rsid w:val="00243C55"/>
    <w:rsid w:val="0024411F"/>
    <w:rsid w:val="00244130"/>
    <w:rsid w:val="00244158"/>
    <w:rsid w:val="00244253"/>
    <w:rsid w:val="002448DF"/>
    <w:rsid w:val="00244C2A"/>
    <w:rsid w:val="002457B8"/>
    <w:rsid w:val="00245C0F"/>
    <w:rsid w:val="00245F65"/>
    <w:rsid w:val="002463AA"/>
    <w:rsid w:val="002463AD"/>
    <w:rsid w:val="002466FB"/>
    <w:rsid w:val="0024693C"/>
    <w:rsid w:val="00246C2A"/>
    <w:rsid w:val="00247299"/>
    <w:rsid w:val="00250D2E"/>
    <w:rsid w:val="002519AA"/>
    <w:rsid w:val="00251C7A"/>
    <w:rsid w:val="00252C0F"/>
    <w:rsid w:val="0025319F"/>
    <w:rsid w:val="00253482"/>
    <w:rsid w:val="002542AF"/>
    <w:rsid w:val="0025448C"/>
    <w:rsid w:val="002544CE"/>
    <w:rsid w:val="00255472"/>
    <w:rsid w:val="00255A1A"/>
    <w:rsid w:val="00255AD9"/>
    <w:rsid w:val="00256181"/>
    <w:rsid w:val="00256EC1"/>
    <w:rsid w:val="0025728C"/>
    <w:rsid w:val="00257478"/>
    <w:rsid w:val="0025747B"/>
    <w:rsid w:val="00257DF9"/>
    <w:rsid w:val="002607F7"/>
    <w:rsid w:val="00260E6C"/>
    <w:rsid w:val="00261A8C"/>
    <w:rsid w:val="00262218"/>
    <w:rsid w:val="0026249A"/>
    <w:rsid w:val="00262C87"/>
    <w:rsid w:val="002631DB"/>
    <w:rsid w:val="00263657"/>
    <w:rsid w:val="00263AAD"/>
    <w:rsid w:val="00263B3E"/>
    <w:rsid w:val="00263BB2"/>
    <w:rsid w:val="00263ECE"/>
    <w:rsid w:val="002641E0"/>
    <w:rsid w:val="002646E5"/>
    <w:rsid w:val="00264B69"/>
    <w:rsid w:val="00264D30"/>
    <w:rsid w:val="00264F5E"/>
    <w:rsid w:val="00264FDB"/>
    <w:rsid w:val="0026551C"/>
    <w:rsid w:val="00265A9B"/>
    <w:rsid w:val="00265C8E"/>
    <w:rsid w:val="00265E2C"/>
    <w:rsid w:val="00265FB1"/>
    <w:rsid w:val="00266616"/>
    <w:rsid w:val="00266B27"/>
    <w:rsid w:val="00266E0D"/>
    <w:rsid w:val="0026716B"/>
    <w:rsid w:val="00267FC1"/>
    <w:rsid w:val="00270560"/>
    <w:rsid w:val="00270751"/>
    <w:rsid w:val="0027082A"/>
    <w:rsid w:val="002712B1"/>
    <w:rsid w:val="00272260"/>
    <w:rsid w:val="002722D0"/>
    <w:rsid w:val="002723FD"/>
    <w:rsid w:val="00272432"/>
    <w:rsid w:val="0027309D"/>
    <w:rsid w:val="00274283"/>
    <w:rsid w:val="002748D4"/>
    <w:rsid w:val="00275054"/>
    <w:rsid w:val="00275A85"/>
    <w:rsid w:val="00275C0E"/>
    <w:rsid w:val="00275F7F"/>
    <w:rsid w:val="00276671"/>
    <w:rsid w:val="002769C0"/>
    <w:rsid w:val="00276D02"/>
    <w:rsid w:val="00277855"/>
    <w:rsid w:val="00277DA8"/>
    <w:rsid w:val="00277E77"/>
    <w:rsid w:val="00280183"/>
    <w:rsid w:val="00280557"/>
    <w:rsid w:val="002809E4"/>
    <w:rsid w:val="00280C32"/>
    <w:rsid w:val="00280D63"/>
    <w:rsid w:val="00281529"/>
    <w:rsid w:val="00281844"/>
    <w:rsid w:val="00281ACC"/>
    <w:rsid w:val="00282764"/>
    <w:rsid w:val="00282F6E"/>
    <w:rsid w:val="0028330C"/>
    <w:rsid w:val="002834F4"/>
    <w:rsid w:val="002842C1"/>
    <w:rsid w:val="002845D1"/>
    <w:rsid w:val="00284A59"/>
    <w:rsid w:val="00285994"/>
    <w:rsid w:val="00285A47"/>
    <w:rsid w:val="00285C7E"/>
    <w:rsid w:val="00285CD8"/>
    <w:rsid w:val="00285E61"/>
    <w:rsid w:val="00285EF5"/>
    <w:rsid w:val="00286C44"/>
    <w:rsid w:val="00287188"/>
    <w:rsid w:val="00287C79"/>
    <w:rsid w:val="00290418"/>
    <w:rsid w:val="00290B0C"/>
    <w:rsid w:val="0029133E"/>
    <w:rsid w:val="0029156F"/>
    <w:rsid w:val="002921BE"/>
    <w:rsid w:val="00292AE0"/>
    <w:rsid w:val="00293CDE"/>
    <w:rsid w:val="00294098"/>
    <w:rsid w:val="002941B3"/>
    <w:rsid w:val="0029478A"/>
    <w:rsid w:val="00294882"/>
    <w:rsid w:val="00295C1D"/>
    <w:rsid w:val="00295F34"/>
    <w:rsid w:val="00296E19"/>
    <w:rsid w:val="00297D7E"/>
    <w:rsid w:val="002A0299"/>
    <w:rsid w:val="002A06B1"/>
    <w:rsid w:val="002A15BD"/>
    <w:rsid w:val="002A25A7"/>
    <w:rsid w:val="002A2A33"/>
    <w:rsid w:val="002A3511"/>
    <w:rsid w:val="002A3536"/>
    <w:rsid w:val="002A42CA"/>
    <w:rsid w:val="002A4396"/>
    <w:rsid w:val="002A4873"/>
    <w:rsid w:val="002A5040"/>
    <w:rsid w:val="002A61C7"/>
    <w:rsid w:val="002A62DB"/>
    <w:rsid w:val="002A6606"/>
    <w:rsid w:val="002A6751"/>
    <w:rsid w:val="002A6BCB"/>
    <w:rsid w:val="002A6E1C"/>
    <w:rsid w:val="002A7EBD"/>
    <w:rsid w:val="002B0832"/>
    <w:rsid w:val="002B0DEC"/>
    <w:rsid w:val="002B1BEF"/>
    <w:rsid w:val="002B1E7E"/>
    <w:rsid w:val="002B30D8"/>
    <w:rsid w:val="002B333C"/>
    <w:rsid w:val="002B3457"/>
    <w:rsid w:val="002B3B29"/>
    <w:rsid w:val="002B3BB7"/>
    <w:rsid w:val="002B3BFD"/>
    <w:rsid w:val="002B3DCD"/>
    <w:rsid w:val="002B479F"/>
    <w:rsid w:val="002B59C4"/>
    <w:rsid w:val="002B5CC5"/>
    <w:rsid w:val="002B5FB5"/>
    <w:rsid w:val="002B6292"/>
    <w:rsid w:val="002B6315"/>
    <w:rsid w:val="002B6729"/>
    <w:rsid w:val="002B6E07"/>
    <w:rsid w:val="002B7E7C"/>
    <w:rsid w:val="002C0E53"/>
    <w:rsid w:val="002C1777"/>
    <w:rsid w:val="002C1C69"/>
    <w:rsid w:val="002C2279"/>
    <w:rsid w:val="002C3330"/>
    <w:rsid w:val="002C4689"/>
    <w:rsid w:val="002C4AFA"/>
    <w:rsid w:val="002C5422"/>
    <w:rsid w:val="002C5428"/>
    <w:rsid w:val="002C5F45"/>
    <w:rsid w:val="002C6271"/>
    <w:rsid w:val="002C6840"/>
    <w:rsid w:val="002C6A5D"/>
    <w:rsid w:val="002C6AFB"/>
    <w:rsid w:val="002C6D2D"/>
    <w:rsid w:val="002D0282"/>
    <w:rsid w:val="002D02C9"/>
    <w:rsid w:val="002D060E"/>
    <w:rsid w:val="002D199C"/>
    <w:rsid w:val="002D1A44"/>
    <w:rsid w:val="002D1E37"/>
    <w:rsid w:val="002D38F2"/>
    <w:rsid w:val="002D3AA2"/>
    <w:rsid w:val="002D3EAE"/>
    <w:rsid w:val="002D3EC3"/>
    <w:rsid w:val="002D3EC5"/>
    <w:rsid w:val="002D42D7"/>
    <w:rsid w:val="002D4E70"/>
    <w:rsid w:val="002D61AD"/>
    <w:rsid w:val="002D62B1"/>
    <w:rsid w:val="002D66B4"/>
    <w:rsid w:val="002E0386"/>
    <w:rsid w:val="002E09A4"/>
    <w:rsid w:val="002E0A8B"/>
    <w:rsid w:val="002E0CDB"/>
    <w:rsid w:val="002E1E74"/>
    <w:rsid w:val="002E2389"/>
    <w:rsid w:val="002E27F9"/>
    <w:rsid w:val="002E3685"/>
    <w:rsid w:val="002E447C"/>
    <w:rsid w:val="002E4AEE"/>
    <w:rsid w:val="002E59AC"/>
    <w:rsid w:val="002E5A4E"/>
    <w:rsid w:val="002E668C"/>
    <w:rsid w:val="002E707F"/>
    <w:rsid w:val="002F0B82"/>
    <w:rsid w:val="002F0D97"/>
    <w:rsid w:val="002F0DE1"/>
    <w:rsid w:val="002F0EC3"/>
    <w:rsid w:val="002F1C54"/>
    <w:rsid w:val="002F21A8"/>
    <w:rsid w:val="002F24A5"/>
    <w:rsid w:val="002F3111"/>
    <w:rsid w:val="002F31FB"/>
    <w:rsid w:val="002F35EB"/>
    <w:rsid w:val="002F379A"/>
    <w:rsid w:val="002F3B17"/>
    <w:rsid w:val="002F3D41"/>
    <w:rsid w:val="002F410A"/>
    <w:rsid w:val="002F4952"/>
    <w:rsid w:val="002F4B63"/>
    <w:rsid w:val="002F5016"/>
    <w:rsid w:val="002F50E5"/>
    <w:rsid w:val="002F5CC7"/>
    <w:rsid w:val="002F6824"/>
    <w:rsid w:val="002F6C63"/>
    <w:rsid w:val="002F7796"/>
    <w:rsid w:val="003007B9"/>
    <w:rsid w:val="00300D8B"/>
    <w:rsid w:val="00301E98"/>
    <w:rsid w:val="00302267"/>
    <w:rsid w:val="0030247B"/>
    <w:rsid w:val="003025DC"/>
    <w:rsid w:val="00303DE9"/>
    <w:rsid w:val="00304615"/>
    <w:rsid w:val="0030517E"/>
    <w:rsid w:val="00305D6A"/>
    <w:rsid w:val="00305EC2"/>
    <w:rsid w:val="0030630E"/>
    <w:rsid w:val="003065BC"/>
    <w:rsid w:val="00306937"/>
    <w:rsid w:val="00306D95"/>
    <w:rsid w:val="00311142"/>
    <w:rsid w:val="003111E9"/>
    <w:rsid w:val="0031146F"/>
    <w:rsid w:val="00311AAF"/>
    <w:rsid w:val="00311C07"/>
    <w:rsid w:val="00311C8D"/>
    <w:rsid w:val="00311F80"/>
    <w:rsid w:val="00312367"/>
    <w:rsid w:val="00312497"/>
    <w:rsid w:val="003133E3"/>
    <w:rsid w:val="003144D5"/>
    <w:rsid w:val="00315069"/>
    <w:rsid w:val="003151BF"/>
    <w:rsid w:val="00315E43"/>
    <w:rsid w:val="003161C6"/>
    <w:rsid w:val="003169F7"/>
    <w:rsid w:val="00316B70"/>
    <w:rsid w:val="00317094"/>
    <w:rsid w:val="00317436"/>
    <w:rsid w:val="003174AC"/>
    <w:rsid w:val="003178AF"/>
    <w:rsid w:val="00317DEA"/>
    <w:rsid w:val="00320105"/>
    <w:rsid w:val="0032013F"/>
    <w:rsid w:val="00320EFF"/>
    <w:rsid w:val="00321295"/>
    <w:rsid w:val="00321742"/>
    <w:rsid w:val="003220D5"/>
    <w:rsid w:val="003220DD"/>
    <w:rsid w:val="0032212A"/>
    <w:rsid w:val="00322162"/>
    <w:rsid w:val="00322F88"/>
    <w:rsid w:val="003230AD"/>
    <w:rsid w:val="003230BB"/>
    <w:rsid w:val="0032340B"/>
    <w:rsid w:val="003235A6"/>
    <w:rsid w:val="00323A73"/>
    <w:rsid w:val="00323ACD"/>
    <w:rsid w:val="00323FB6"/>
    <w:rsid w:val="0032537F"/>
    <w:rsid w:val="00325B69"/>
    <w:rsid w:val="00326407"/>
    <w:rsid w:val="00326994"/>
    <w:rsid w:val="00327569"/>
    <w:rsid w:val="00327E9C"/>
    <w:rsid w:val="00330140"/>
    <w:rsid w:val="00331052"/>
    <w:rsid w:val="00332297"/>
    <w:rsid w:val="00332682"/>
    <w:rsid w:val="00332FDD"/>
    <w:rsid w:val="003332C0"/>
    <w:rsid w:val="00333C07"/>
    <w:rsid w:val="00333F72"/>
    <w:rsid w:val="00334158"/>
    <w:rsid w:val="00334354"/>
    <w:rsid w:val="00334ACC"/>
    <w:rsid w:val="00334DDB"/>
    <w:rsid w:val="00335063"/>
    <w:rsid w:val="003358BF"/>
    <w:rsid w:val="00335E15"/>
    <w:rsid w:val="00335FB6"/>
    <w:rsid w:val="003366E2"/>
    <w:rsid w:val="00337416"/>
    <w:rsid w:val="00337958"/>
    <w:rsid w:val="00337B57"/>
    <w:rsid w:val="00337D07"/>
    <w:rsid w:val="0034085A"/>
    <w:rsid w:val="00340C3E"/>
    <w:rsid w:val="00340F97"/>
    <w:rsid w:val="00341DE9"/>
    <w:rsid w:val="00341EB2"/>
    <w:rsid w:val="00342900"/>
    <w:rsid w:val="003431B3"/>
    <w:rsid w:val="0034326E"/>
    <w:rsid w:val="00343439"/>
    <w:rsid w:val="0034355F"/>
    <w:rsid w:val="00343F82"/>
    <w:rsid w:val="003453C3"/>
    <w:rsid w:val="00345424"/>
    <w:rsid w:val="003459EA"/>
    <w:rsid w:val="00346B94"/>
    <w:rsid w:val="00347C00"/>
    <w:rsid w:val="003509B2"/>
    <w:rsid w:val="00350DFD"/>
    <w:rsid w:val="00351F57"/>
    <w:rsid w:val="0035206E"/>
    <w:rsid w:val="00352116"/>
    <w:rsid w:val="0035213C"/>
    <w:rsid w:val="003532CB"/>
    <w:rsid w:val="00353301"/>
    <w:rsid w:val="00353529"/>
    <w:rsid w:val="00353829"/>
    <w:rsid w:val="00354E8D"/>
    <w:rsid w:val="00355469"/>
    <w:rsid w:val="003554D6"/>
    <w:rsid w:val="003556C5"/>
    <w:rsid w:val="0035599A"/>
    <w:rsid w:val="00355E3D"/>
    <w:rsid w:val="00356DCB"/>
    <w:rsid w:val="00357331"/>
    <w:rsid w:val="0035765A"/>
    <w:rsid w:val="00357810"/>
    <w:rsid w:val="003606BB"/>
    <w:rsid w:val="00363CC5"/>
    <w:rsid w:val="00364B48"/>
    <w:rsid w:val="00365359"/>
    <w:rsid w:val="00366301"/>
    <w:rsid w:val="0036671E"/>
    <w:rsid w:val="003679D8"/>
    <w:rsid w:val="00372938"/>
    <w:rsid w:val="00372C2A"/>
    <w:rsid w:val="00373552"/>
    <w:rsid w:val="003736BE"/>
    <w:rsid w:val="00373741"/>
    <w:rsid w:val="00373B56"/>
    <w:rsid w:val="00373BB6"/>
    <w:rsid w:val="00373C91"/>
    <w:rsid w:val="003741EB"/>
    <w:rsid w:val="003744A2"/>
    <w:rsid w:val="003747E9"/>
    <w:rsid w:val="00374AC7"/>
    <w:rsid w:val="003750B3"/>
    <w:rsid w:val="0037579F"/>
    <w:rsid w:val="00375C72"/>
    <w:rsid w:val="00375DF7"/>
    <w:rsid w:val="003765B9"/>
    <w:rsid w:val="00376873"/>
    <w:rsid w:val="00376B32"/>
    <w:rsid w:val="00376BF9"/>
    <w:rsid w:val="00376E0D"/>
    <w:rsid w:val="00377255"/>
    <w:rsid w:val="0038006A"/>
    <w:rsid w:val="00381560"/>
    <w:rsid w:val="0038191C"/>
    <w:rsid w:val="00382C53"/>
    <w:rsid w:val="00384646"/>
    <w:rsid w:val="00385946"/>
    <w:rsid w:val="003859FF"/>
    <w:rsid w:val="00385B1A"/>
    <w:rsid w:val="00385BF9"/>
    <w:rsid w:val="00385CE0"/>
    <w:rsid w:val="00386346"/>
    <w:rsid w:val="0038665E"/>
    <w:rsid w:val="003874A8"/>
    <w:rsid w:val="00387D6B"/>
    <w:rsid w:val="00387D75"/>
    <w:rsid w:val="00391005"/>
    <w:rsid w:val="003921FF"/>
    <w:rsid w:val="003933A7"/>
    <w:rsid w:val="00393501"/>
    <w:rsid w:val="00394006"/>
    <w:rsid w:val="0039405E"/>
    <w:rsid w:val="003948A7"/>
    <w:rsid w:val="003953ED"/>
    <w:rsid w:val="0039597C"/>
    <w:rsid w:val="00395B17"/>
    <w:rsid w:val="00395FA1"/>
    <w:rsid w:val="00396680"/>
    <w:rsid w:val="00396AE2"/>
    <w:rsid w:val="00396CE9"/>
    <w:rsid w:val="0039723F"/>
    <w:rsid w:val="00397897"/>
    <w:rsid w:val="003A0001"/>
    <w:rsid w:val="003A039B"/>
    <w:rsid w:val="003A0D6F"/>
    <w:rsid w:val="003A0DF0"/>
    <w:rsid w:val="003A1B67"/>
    <w:rsid w:val="003A2433"/>
    <w:rsid w:val="003A247E"/>
    <w:rsid w:val="003A2AE7"/>
    <w:rsid w:val="003A2E5E"/>
    <w:rsid w:val="003A30EB"/>
    <w:rsid w:val="003A35F2"/>
    <w:rsid w:val="003A367C"/>
    <w:rsid w:val="003A5609"/>
    <w:rsid w:val="003A58BD"/>
    <w:rsid w:val="003A5E79"/>
    <w:rsid w:val="003A65A7"/>
    <w:rsid w:val="003A69FE"/>
    <w:rsid w:val="003A7317"/>
    <w:rsid w:val="003A7B6D"/>
    <w:rsid w:val="003B067B"/>
    <w:rsid w:val="003B2CCB"/>
    <w:rsid w:val="003B321E"/>
    <w:rsid w:val="003B3C77"/>
    <w:rsid w:val="003B411F"/>
    <w:rsid w:val="003B5020"/>
    <w:rsid w:val="003B5298"/>
    <w:rsid w:val="003B58EC"/>
    <w:rsid w:val="003B5B27"/>
    <w:rsid w:val="003B777B"/>
    <w:rsid w:val="003B788D"/>
    <w:rsid w:val="003B7899"/>
    <w:rsid w:val="003B7A0A"/>
    <w:rsid w:val="003C124D"/>
    <w:rsid w:val="003C17AB"/>
    <w:rsid w:val="003C1C87"/>
    <w:rsid w:val="003C2030"/>
    <w:rsid w:val="003C20BE"/>
    <w:rsid w:val="003C2F36"/>
    <w:rsid w:val="003C38DA"/>
    <w:rsid w:val="003C3BF3"/>
    <w:rsid w:val="003C4350"/>
    <w:rsid w:val="003C47F3"/>
    <w:rsid w:val="003C4EDD"/>
    <w:rsid w:val="003C5571"/>
    <w:rsid w:val="003C5845"/>
    <w:rsid w:val="003C5FF7"/>
    <w:rsid w:val="003C68A6"/>
    <w:rsid w:val="003C68EF"/>
    <w:rsid w:val="003C6A12"/>
    <w:rsid w:val="003C6FD1"/>
    <w:rsid w:val="003C74F7"/>
    <w:rsid w:val="003C76C6"/>
    <w:rsid w:val="003C7A98"/>
    <w:rsid w:val="003D048B"/>
    <w:rsid w:val="003D0D05"/>
    <w:rsid w:val="003D0DBF"/>
    <w:rsid w:val="003D1F61"/>
    <w:rsid w:val="003D2FAD"/>
    <w:rsid w:val="003D312F"/>
    <w:rsid w:val="003D3538"/>
    <w:rsid w:val="003D3A91"/>
    <w:rsid w:val="003D3ABC"/>
    <w:rsid w:val="003D3C02"/>
    <w:rsid w:val="003D4D6D"/>
    <w:rsid w:val="003D5610"/>
    <w:rsid w:val="003D57C1"/>
    <w:rsid w:val="003D5C73"/>
    <w:rsid w:val="003D659B"/>
    <w:rsid w:val="003D7603"/>
    <w:rsid w:val="003D7D5B"/>
    <w:rsid w:val="003D7F11"/>
    <w:rsid w:val="003E0BE7"/>
    <w:rsid w:val="003E1080"/>
    <w:rsid w:val="003E115E"/>
    <w:rsid w:val="003E1A1E"/>
    <w:rsid w:val="003E1DB7"/>
    <w:rsid w:val="003E23CB"/>
    <w:rsid w:val="003E35A9"/>
    <w:rsid w:val="003E3F49"/>
    <w:rsid w:val="003E4B1F"/>
    <w:rsid w:val="003E5EF3"/>
    <w:rsid w:val="003E6644"/>
    <w:rsid w:val="003E770A"/>
    <w:rsid w:val="003E7A63"/>
    <w:rsid w:val="003E7B59"/>
    <w:rsid w:val="003F075F"/>
    <w:rsid w:val="003F094E"/>
    <w:rsid w:val="003F1832"/>
    <w:rsid w:val="003F1925"/>
    <w:rsid w:val="003F1CC3"/>
    <w:rsid w:val="003F2337"/>
    <w:rsid w:val="003F26AC"/>
    <w:rsid w:val="003F2E65"/>
    <w:rsid w:val="003F45E3"/>
    <w:rsid w:val="003F4955"/>
    <w:rsid w:val="003F4A9A"/>
    <w:rsid w:val="003F4AFE"/>
    <w:rsid w:val="003F5353"/>
    <w:rsid w:val="003F554C"/>
    <w:rsid w:val="003F5A4E"/>
    <w:rsid w:val="003F631F"/>
    <w:rsid w:val="003F64F5"/>
    <w:rsid w:val="003F671E"/>
    <w:rsid w:val="003F72E1"/>
    <w:rsid w:val="003F73E6"/>
    <w:rsid w:val="00400DC5"/>
    <w:rsid w:val="00400DD9"/>
    <w:rsid w:val="00400F01"/>
    <w:rsid w:val="004029FC"/>
    <w:rsid w:val="0040378B"/>
    <w:rsid w:val="00404D05"/>
    <w:rsid w:val="00404F05"/>
    <w:rsid w:val="004055E0"/>
    <w:rsid w:val="0040583E"/>
    <w:rsid w:val="00405D92"/>
    <w:rsid w:val="00406571"/>
    <w:rsid w:val="00406C72"/>
    <w:rsid w:val="00407096"/>
    <w:rsid w:val="0040754D"/>
    <w:rsid w:val="00407F8D"/>
    <w:rsid w:val="00407FCD"/>
    <w:rsid w:val="00410EC5"/>
    <w:rsid w:val="00410FFD"/>
    <w:rsid w:val="00411CA4"/>
    <w:rsid w:val="004128EF"/>
    <w:rsid w:val="00412F53"/>
    <w:rsid w:val="00413C8E"/>
    <w:rsid w:val="00414094"/>
    <w:rsid w:val="00414151"/>
    <w:rsid w:val="00414965"/>
    <w:rsid w:val="00415A94"/>
    <w:rsid w:val="00416726"/>
    <w:rsid w:val="00417BB0"/>
    <w:rsid w:val="00420526"/>
    <w:rsid w:val="00420E3C"/>
    <w:rsid w:val="00421B19"/>
    <w:rsid w:val="00421B32"/>
    <w:rsid w:val="00421DCC"/>
    <w:rsid w:val="00422ACD"/>
    <w:rsid w:val="004233F5"/>
    <w:rsid w:val="00425510"/>
    <w:rsid w:val="00425781"/>
    <w:rsid w:val="00425F57"/>
    <w:rsid w:val="00426AF2"/>
    <w:rsid w:val="00426B5E"/>
    <w:rsid w:val="0043014E"/>
    <w:rsid w:val="004302FD"/>
    <w:rsid w:val="00430982"/>
    <w:rsid w:val="004309DF"/>
    <w:rsid w:val="00430F8E"/>
    <w:rsid w:val="004316FF"/>
    <w:rsid w:val="00432EF3"/>
    <w:rsid w:val="004330AF"/>
    <w:rsid w:val="004333D5"/>
    <w:rsid w:val="00433F21"/>
    <w:rsid w:val="00434214"/>
    <w:rsid w:val="0043450F"/>
    <w:rsid w:val="00435ED4"/>
    <w:rsid w:val="004363FB"/>
    <w:rsid w:val="004365FC"/>
    <w:rsid w:val="00440021"/>
    <w:rsid w:val="00441799"/>
    <w:rsid w:val="00441B3F"/>
    <w:rsid w:val="004423FE"/>
    <w:rsid w:val="00443D1B"/>
    <w:rsid w:val="00444734"/>
    <w:rsid w:val="00444892"/>
    <w:rsid w:val="004448AD"/>
    <w:rsid w:val="00445F77"/>
    <w:rsid w:val="00446008"/>
    <w:rsid w:val="004460A9"/>
    <w:rsid w:val="004467E2"/>
    <w:rsid w:val="00446D5C"/>
    <w:rsid w:val="004471EE"/>
    <w:rsid w:val="004475D0"/>
    <w:rsid w:val="004479B4"/>
    <w:rsid w:val="00447D36"/>
    <w:rsid w:val="00447E2D"/>
    <w:rsid w:val="00450297"/>
    <w:rsid w:val="00450489"/>
    <w:rsid w:val="004510B3"/>
    <w:rsid w:val="0045145D"/>
    <w:rsid w:val="0045203C"/>
    <w:rsid w:val="004521EA"/>
    <w:rsid w:val="00452B35"/>
    <w:rsid w:val="00453184"/>
    <w:rsid w:val="004531E1"/>
    <w:rsid w:val="00453719"/>
    <w:rsid w:val="004538E3"/>
    <w:rsid w:val="00453D32"/>
    <w:rsid w:val="004541C4"/>
    <w:rsid w:val="00454682"/>
    <w:rsid w:val="00454820"/>
    <w:rsid w:val="00454E49"/>
    <w:rsid w:val="00455925"/>
    <w:rsid w:val="00455BDA"/>
    <w:rsid w:val="00455E40"/>
    <w:rsid w:val="00456AAB"/>
    <w:rsid w:val="00456DCF"/>
    <w:rsid w:val="00460905"/>
    <w:rsid w:val="00460BB2"/>
    <w:rsid w:val="00460D9B"/>
    <w:rsid w:val="00460F71"/>
    <w:rsid w:val="00461296"/>
    <w:rsid w:val="00461633"/>
    <w:rsid w:val="00461AB5"/>
    <w:rsid w:val="0046294D"/>
    <w:rsid w:val="00462D6E"/>
    <w:rsid w:val="00462EEB"/>
    <w:rsid w:val="00463E07"/>
    <w:rsid w:val="00463E9A"/>
    <w:rsid w:val="00463F46"/>
    <w:rsid w:val="00465324"/>
    <w:rsid w:val="0046598A"/>
    <w:rsid w:val="00465F1A"/>
    <w:rsid w:val="004660B7"/>
    <w:rsid w:val="00466B16"/>
    <w:rsid w:val="00466D81"/>
    <w:rsid w:val="0046750A"/>
    <w:rsid w:val="00467751"/>
    <w:rsid w:val="00467C92"/>
    <w:rsid w:val="00470142"/>
    <w:rsid w:val="004707AA"/>
    <w:rsid w:val="004708F1"/>
    <w:rsid w:val="004718CE"/>
    <w:rsid w:val="004726B0"/>
    <w:rsid w:val="00472A8A"/>
    <w:rsid w:val="00472D27"/>
    <w:rsid w:val="00474EFB"/>
    <w:rsid w:val="00474FBB"/>
    <w:rsid w:val="00475566"/>
    <w:rsid w:val="0047575A"/>
    <w:rsid w:val="004759B6"/>
    <w:rsid w:val="00475CB0"/>
    <w:rsid w:val="00475CBE"/>
    <w:rsid w:val="004761BD"/>
    <w:rsid w:val="00476C57"/>
    <w:rsid w:val="00477E51"/>
    <w:rsid w:val="0048035F"/>
    <w:rsid w:val="004804F9"/>
    <w:rsid w:val="00480A21"/>
    <w:rsid w:val="00480A96"/>
    <w:rsid w:val="004817E1"/>
    <w:rsid w:val="004828AA"/>
    <w:rsid w:val="004832CE"/>
    <w:rsid w:val="00483843"/>
    <w:rsid w:val="004873CD"/>
    <w:rsid w:val="004875FA"/>
    <w:rsid w:val="00487A22"/>
    <w:rsid w:val="00491716"/>
    <w:rsid w:val="0049178A"/>
    <w:rsid w:val="00491D23"/>
    <w:rsid w:val="00492029"/>
    <w:rsid w:val="0049202E"/>
    <w:rsid w:val="0049258B"/>
    <w:rsid w:val="00493431"/>
    <w:rsid w:val="00493E81"/>
    <w:rsid w:val="00493F84"/>
    <w:rsid w:val="004941F3"/>
    <w:rsid w:val="00494EA6"/>
    <w:rsid w:val="004951F9"/>
    <w:rsid w:val="00495242"/>
    <w:rsid w:val="004956DC"/>
    <w:rsid w:val="0049682E"/>
    <w:rsid w:val="00496966"/>
    <w:rsid w:val="00496D6F"/>
    <w:rsid w:val="00497266"/>
    <w:rsid w:val="004975B2"/>
    <w:rsid w:val="00497A2E"/>
    <w:rsid w:val="004A077C"/>
    <w:rsid w:val="004A0904"/>
    <w:rsid w:val="004A0AC2"/>
    <w:rsid w:val="004A1341"/>
    <w:rsid w:val="004A15D4"/>
    <w:rsid w:val="004A1700"/>
    <w:rsid w:val="004A34F0"/>
    <w:rsid w:val="004A4146"/>
    <w:rsid w:val="004A436F"/>
    <w:rsid w:val="004A4E16"/>
    <w:rsid w:val="004A528C"/>
    <w:rsid w:val="004A5BC7"/>
    <w:rsid w:val="004A5C13"/>
    <w:rsid w:val="004A665A"/>
    <w:rsid w:val="004A740A"/>
    <w:rsid w:val="004A7506"/>
    <w:rsid w:val="004A7A34"/>
    <w:rsid w:val="004B0166"/>
    <w:rsid w:val="004B0A5A"/>
    <w:rsid w:val="004B0C7F"/>
    <w:rsid w:val="004B0DF7"/>
    <w:rsid w:val="004B0FA1"/>
    <w:rsid w:val="004B2184"/>
    <w:rsid w:val="004B2EC5"/>
    <w:rsid w:val="004B2F58"/>
    <w:rsid w:val="004B3180"/>
    <w:rsid w:val="004B399E"/>
    <w:rsid w:val="004B425B"/>
    <w:rsid w:val="004B472A"/>
    <w:rsid w:val="004B4741"/>
    <w:rsid w:val="004B4854"/>
    <w:rsid w:val="004B5287"/>
    <w:rsid w:val="004B54B1"/>
    <w:rsid w:val="004B5888"/>
    <w:rsid w:val="004B5A32"/>
    <w:rsid w:val="004B5DF8"/>
    <w:rsid w:val="004B60B0"/>
    <w:rsid w:val="004B6E27"/>
    <w:rsid w:val="004B739E"/>
    <w:rsid w:val="004C094A"/>
    <w:rsid w:val="004C0AEF"/>
    <w:rsid w:val="004C1079"/>
    <w:rsid w:val="004C1412"/>
    <w:rsid w:val="004C1C95"/>
    <w:rsid w:val="004C200C"/>
    <w:rsid w:val="004C2E94"/>
    <w:rsid w:val="004C2EA0"/>
    <w:rsid w:val="004C30E7"/>
    <w:rsid w:val="004C38C1"/>
    <w:rsid w:val="004C38CD"/>
    <w:rsid w:val="004C390B"/>
    <w:rsid w:val="004C453A"/>
    <w:rsid w:val="004C4B40"/>
    <w:rsid w:val="004C5249"/>
    <w:rsid w:val="004C5DF7"/>
    <w:rsid w:val="004C6B77"/>
    <w:rsid w:val="004C77B5"/>
    <w:rsid w:val="004C7826"/>
    <w:rsid w:val="004C7DEC"/>
    <w:rsid w:val="004D0499"/>
    <w:rsid w:val="004D0DCE"/>
    <w:rsid w:val="004D1FA7"/>
    <w:rsid w:val="004D3D96"/>
    <w:rsid w:val="004D449E"/>
    <w:rsid w:val="004D4E2D"/>
    <w:rsid w:val="004D5A93"/>
    <w:rsid w:val="004D636B"/>
    <w:rsid w:val="004D692C"/>
    <w:rsid w:val="004D771F"/>
    <w:rsid w:val="004D7B4E"/>
    <w:rsid w:val="004E019C"/>
    <w:rsid w:val="004E0878"/>
    <w:rsid w:val="004E0ADB"/>
    <w:rsid w:val="004E1A28"/>
    <w:rsid w:val="004E306B"/>
    <w:rsid w:val="004E335F"/>
    <w:rsid w:val="004E3429"/>
    <w:rsid w:val="004E34F3"/>
    <w:rsid w:val="004E3AFD"/>
    <w:rsid w:val="004E3B03"/>
    <w:rsid w:val="004E4553"/>
    <w:rsid w:val="004E53BC"/>
    <w:rsid w:val="004E54BE"/>
    <w:rsid w:val="004E56E4"/>
    <w:rsid w:val="004E5CA9"/>
    <w:rsid w:val="004E5E3B"/>
    <w:rsid w:val="004E5EBF"/>
    <w:rsid w:val="004E5EE2"/>
    <w:rsid w:val="004E7A6F"/>
    <w:rsid w:val="004F012D"/>
    <w:rsid w:val="004F0614"/>
    <w:rsid w:val="004F129D"/>
    <w:rsid w:val="004F14F3"/>
    <w:rsid w:val="004F1D4E"/>
    <w:rsid w:val="004F1FE3"/>
    <w:rsid w:val="004F1FF4"/>
    <w:rsid w:val="004F29FA"/>
    <w:rsid w:val="004F3571"/>
    <w:rsid w:val="004F3EFE"/>
    <w:rsid w:val="004F407C"/>
    <w:rsid w:val="004F47FD"/>
    <w:rsid w:val="004F543F"/>
    <w:rsid w:val="004F5D5B"/>
    <w:rsid w:val="004F66FF"/>
    <w:rsid w:val="004F68C5"/>
    <w:rsid w:val="004F71FA"/>
    <w:rsid w:val="00500AE0"/>
    <w:rsid w:val="00502539"/>
    <w:rsid w:val="00503099"/>
    <w:rsid w:val="00504C25"/>
    <w:rsid w:val="00504F4C"/>
    <w:rsid w:val="005050C8"/>
    <w:rsid w:val="005054D7"/>
    <w:rsid w:val="00505550"/>
    <w:rsid w:val="00505A9A"/>
    <w:rsid w:val="0050735B"/>
    <w:rsid w:val="0050797D"/>
    <w:rsid w:val="005109D6"/>
    <w:rsid w:val="00511FA5"/>
    <w:rsid w:val="0051227A"/>
    <w:rsid w:val="005128F1"/>
    <w:rsid w:val="00513CBF"/>
    <w:rsid w:val="00513E37"/>
    <w:rsid w:val="005140B7"/>
    <w:rsid w:val="00515118"/>
    <w:rsid w:val="00515504"/>
    <w:rsid w:val="00515651"/>
    <w:rsid w:val="00515A56"/>
    <w:rsid w:val="005163D1"/>
    <w:rsid w:val="005174AA"/>
    <w:rsid w:val="005177B3"/>
    <w:rsid w:val="005177E0"/>
    <w:rsid w:val="00517C1A"/>
    <w:rsid w:val="00517C96"/>
    <w:rsid w:val="005228D3"/>
    <w:rsid w:val="005234AA"/>
    <w:rsid w:val="00524F2C"/>
    <w:rsid w:val="00525DDD"/>
    <w:rsid w:val="005273F0"/>
    <w:rsid w:val="00527442"/>
    <w:rsid w:val="00527481"/>
    <w:rsid w:val="00527C5D"/>
    <w:rsid w:val="0053009E"/>
    <w:rsid w:val="00530240"/>
    <w:rsid w:val="00530458"/>
    <w:rsid w:val="00530809"/>
    <w:rsid w:val="00530D57"/>
    <w:rsid w:val="00531E95"/>
    <w:rsid w:val="00532B77"/>
    <w:rsid w:val="005332A0"/>
    <w:rsid w:val="005334CB"/>
    <w:rsid w:val="00534A08"/>
    <w:rsid w:val="00535107"/>
    <w:rsid w:val="00537CCA"/>
    <w:rsid w:val="00540787"/>
    <w:rsid w:val="00541404"/>
    <w:rsid w:val="005416A3"/>
    <w:rsid w:val="00541984"/>
    <w:rsid w:val="005419A1"/>
    <w:rsid w:val="00541E8E"/>
    <w:rsid w:val="005429EE"/>
    <w:rsid w:val="0054321B"/>
    <w:rsid w:val="00543E74"/>
    <w:rsid w:val="005441AE"/>
    <w:rsid w:val="00545139"/>
    <w:rsid w:val="00546231"/>
    <w:rsid w:val="00547F25"/>
    <w:rsid w:val="00550A7B"/>
    <w:rsid w:val="00550FB1"/>
    <w:rsid w:val="0055123F"/>
    <w:rsid w:val="0055124F"/>
    <w:rsid w:val="005518D6"/>
    <w:rsid w:val="00551E83"/>
    <w:rsid w:val="00553499"/>
    <w:rsid w:val="0055385A"/>
    <w:rsid w:val="00553A03"/>
    <w:rsid w:val="00553A7F"/>
    <w:rsid w:val="00554362"/>
    <w:rsid w:val="00554728"/>
    <w:rsid w:val="00554822"/>
    <w:rsid w:val="00554A81"/>
    <w:rsid w:val="00554EFE"/>
    <w:rsid w:val="00555334"/>
    <w:rsid w:val="00555594"/>
    <w:rsid w:val="005557B3"/>
    <w:rsid w:val="0055594A"/>
    <w:rsid w:val="0055696C"/>
    <w:rsid w:val="00556E41"/>
    <w:rsid w:val="00556FA9"/>
    <w:rsid w:val="005571A5"/>
    <w:rsid w:val="00557809"/>
    <w:rsid w:val="00560485"/>
    <w:rsid w:val="00560599"/>
    <w:rsid w:val="00560EA7"/>
    <w:rsid w:val="00562226"/>
    <w:rsid w:val="00562684"/>
    <w:rsid w:val="005628D6"/>
    <w:rsid w:val="00563012"/>
    <w:rsid w:val="00563154"/>
    <w:rsid w:val="00563603"/>
    <w:rsid w:val="00563FF3"/>
    <w:rsid w:val="0056437F"/>
    <w:rsid w:val="005659EE"/>
    <w:rsid w:val="00565A24"/>
    <w:rsid w:val="00565BF8"/>
    <w:rsid w:val="00565C51"/>
    <w:rsid w:val="005665A2"/>
    <w:rsid w:val="005669FB"/>
    <w:rsid w:val="005677FC"/>
    <w:rsid w:val="00567D9A"/>
    <w:rsid w:val="005706A9"/>
    <w:rsid w:val="0057133D"/>
    <w:rsid w:val="00571CC1"/>
    <w:rsid w:val="0057290A"/>
    <w:rsid w:val="0057354A"/>
    <w:rsid w:val="00573987"/>
    <w:rsid w:val="00575C82"/>
    <w:rsid w:val="005774C6"/>
    <w:rsid w:val="005774FA"/>
    <w:rsid w:val="0057760B"/>
    <w:rsid w:val="00577F4B"/>
    <w:rsid w:val="00580727"/>
    <w:rsid w:val="00580972"/>
    <w:rsid w:val="00581B7F"/>
    <w:rsid w:val="00582FAB"/>
    <w:rsid w:val="00583DCA"/>
    <w:rsid w:val="00584A28"/>
    <w:rsid w:val="005853D4"/>
    <w:rsid w:val="00585635"/>
    <w:rsid w:val="00585DDA"/>
    <w:rsid w:val="005867DD"/>
    <w:rsid w:val="00586DFA"/>
    <w:rsid w:val="00586F8B"/>
    <w:rsid w:val="00587038"/>
    <w:rsid w:val="00587B5A"/>
    <w:rsid w:val="005900B1"/>
    <w:rsid w:val="00590B7E"/>
    <w:rsid w:val="0059114D"/>
    <w:rsid w:val="00591BBF"/>
    <w:rsid w:val="0059214D"/>
    <w:rsid w:val="00592B45"/>
    <w:rsid w:val="00592DF2"/>
    <w:rsid w:val="00593312"/>
    <w:rsid w:val="00593902"/>
    <w:rsid w:val="00593E70"/>
    <w:rsid w:val="00593F86"/>
    <w:rsid w:val="00594428"/>
    <w:rsid w:val="005952A6"/>
    <w:rsid w:val="0059593F"/>
    <w:rsid w:val="00595E8B"/>
    <w:rsid w:val="00595F7F"/>
    <w:rsid w:val="005960A9"/>
    <w:rsid w:val="00596659"/>
    <w:rsid w:val="00597AB7"/>
    <w:rsid w:val="00597DED"/>
    <w:rsid w:val="005A0B7C"/>
    <w:rsid w:val="005A1221"/>
    <w:rsid w:val="005A1BD2"/>
    <w:rsid w:val="005A1D63"/>
    <w:rsid w:val="005A1D72"/>
    <w:rsid w:val="005A21B6"/>
    <w:rsid w:val="005A2625"/>
    <w:rsid w:val="005A2665"/>
    <w:rsid w:val="005A2A08"/>
    <w:rsid w:val="005A2D98"/>
    <w:rsid w:val="005A3D86"/>
    <w:rsid w:val="005A46FD"/>
    <w:rsid w:val="005A495D"/>
    <w:rsid w:val="005A4E15"/>
    <w:rsid w:val="005A50A1"/>
    <w:rsid w:val="005A63BC"/>
    <w:rsid w:val="005A6C8A"/>
    <w:rsid w:val="005A6E95"/>
    <w:rsid w:val="005A70A0"/>
    <w:rsid w:val="005A7D9B"/>
    <w:rsid w:val="005B1EA2"/>
    <w:rsid w:val="005B2357"/>
    <w:rsid w:val="005B238A"/>
    <w:rsid w:val="005B23B1"/>
    <w:rsid w:val="005B25CF"/>
    <w:rsid w:val="005B2C2F"/>
    <w:rsid w:val="005B33A1"/>
    <w:rsid w:val="005B33F7"/>
    <w:rsid w:val="005B3FFE"/>
    <w:rsid w:val="005B464D"/>
    <w:rsid w:val="005B4A96"/>
    <w:rsid w:val="005B4E32"/>
    <w:rsid w:val="005B5E2A"/>
    <w:rsid w:val="005B647B"/>
    <w:rsid w:val="005B696A"/>
    <w:rsid w:val="005B7108"/>
    <w:rsid w:val="005B7371"/>
    <w:rsid w:val="005C028D"/>
    <w:rsid w:val="005C0A40"/>
    <w:rsid w:val="005C1A18"/>
    <w:rsid w:val="005C20F5"/>
    <w:rsid w:val="005C22EC"/>
    <w:rsid w:val="005C2F72"/>
    <w:rsid w:val="005C49A4"/>
    <w:rsid w:val="005C5FE4"/>
    <w:rsid w:val="005C667D"/>
    <w:rsid w:val="005C66A7"/>
    <w:rsid w:val="005C7C00"/>
    <w:rsid w:val="005D0519"/>
    <w:rsid w:val="005D0904"/>
    <w:rsid w:val="005D0B92"/>
    <w:rsid w:val="005D0EEA"/>
    <w:rsid w:val="005D11E1"/>
    <w:rsid w:val="005D178B"/>
    <w:rsid w:val="005D27D6"/>
    <w:rsid w:val="005D59D0"/>
    <w:rsid w:val="005D5CC8"/>
    <w:rsid w:val="005D653A"/>
    <w:rsid w:val="005D6EC5"/>
    <w:rsid w:val="005D758C"/>
    <w:rsid w:val="005D7C6B"/>
    <w:rsid w:val="005E0699"/>
    <w:rsid w:val="005E159C"/>
    <w:rsid w:val="005E1A1B"/>
    <w:rsid w:val="005E209B"/>
    <w:rsid w:val="005E22D5"/>
    <w:rsid w:val="005E28AE"/>
    <w:rsid w:val="005E2A99"/>
    <w:rsid w:val="005E2ECB"/>
    <w:rsid w:val="005E3133"/>
    <w:rsid w:val="005E3E3A"/>
    <w:rsid w:val="005E45E6"/>
    <w:rsid w:val="005E5517"/>
    <w:rsid w:val="005E6B86"/>
    <w:rsid w:val="005E6F84"/>
    <w:rsid w:val="005E6F88"/>
    <w:rsid w:val="005E7634"/>
    <w:rsid w:val="005E7AF5"/>
    <w:rsid w:val="005E7FDD"/>
    <w:rsid w:val="005F032C"/>
    <w:rsid w:val="005F048B"/>
    <w:rsid w:val="005F065F"/>
    <w:rsid w:val="005F0742"/>
    <w:rsid w:val="005F25BE"/>
    <w:rsid w:val="005F314E"/>
    <w:rsid w:val="005F360F"/>
    <w:rsid w:val="005F3DC0"/>
    <w:rsid w:val="005F44E1"/>
    <w:rsid w:val="005F4A4D"/>
    <w:rsid w:val="005F5258"/>
    <w:rsid w:val="005F5997"/>
    <w:rsid w:val="005F6169"/>
    <w:rsid w:val="005F64F4"/>
    <w:rsid w:val="005F6764"/>
    <w:rsid w:val="005F6B45"/>
    <w:rsid w:val="005F6C27"/>
    <w:rsid w:val="005F70AA"/>
    <w:rsid w:val="005F74C5"/>
    <w:rsid w:val="005F74FC"/>
    <w:rsid w:val="0060013C"/>
    <w:rsid w:val="006002D0"/>
    <w:rsid w:val="006004DF"/>
    <w:rsid w:val="006005BC"/>
    <w:rsid w:val="00600761"/>
    <w:rsid w:val="00602215"/>
    <w:rsid w:val="0060242A"/>
    <w:rsid w:val="006033DF"/>
    <w:rsid w:val="00603A9E"/>
    <w:rsid w:val="006043DC"/>
    <w:rsid w:val="00604AF1"/>
    <w:rsid w:val="00605E92"/>
    <w:rsid w:val="0060606F"/>
    <w:rsid w:val="006066EA"/>
    <w:rsid w:val="006070C7"/>
    <w:rsid w:val="00607AEF"/>
    <w:rsid w:val="00607C6C"/>
    <w:rsid w:val="00610553"/>
    <w:rsid w:val="00610B62"/>
    <w:rsid w:val="00612C61"/>
    <w:rsid w:val="00612C99"/>
    <w:rsid w:val="00613208"/>
    <w:rsid w:val="006142EF"/>
    <w:rsid w:val="0061584E"/>
    <w:rsid w:val="006159E0"/>
    <w:rsid w:val="006162B1"/>
    <w:rsid w:val="00616480"/>
    <w:rsid w:val="00616AC8"/>
    <w:rsid w:val="00616B8B"/>
    <w:rsid w:val="00616D84"/>
    <w:rsid w:val="00617473"/>
    <w:rsid w:val="0061751A"/>
    <w:rsid w:val="006211A5"/>
    <w:rsid w:val="0062159F"/>
    <w:rsid w:val="006217C9"/>
    <w:rsid w:val="00621DEA"/>
    <w:rsid w:val="00621EDB"/>
    <w:rsid w:val="006232E2"/>
    <w:rsid w:val="006233EC"/>
    <w:rsid w:val="00623B68"/>
    <w:rsid w:val="00623EBC"/>
    <w:rsid w:val="006260B5"/>
    <w:rsid w:val="006265B9"/>
    <w:rsid w:val="006265FE"/>
    <w:rsid w:val="0062703B"/>
    <w:rsid w:val="0062736A"/>
    <w:rsid w:val="0062791E"/>
    <w:rsid w:val="00627ECC"/>
    <w:rsid w:val="006309A6"/>
    <w:rsid w:val="00630B58"/>
    <w:rsid w:val="006326D1"/>
    <w:rsid w:val="0063296B"/>
    <w:rsid w:val="00632CC3"/>
    <w:rsid w:val="00632F03"/>
    <w:rsid w:val="006330CC"/>
    <w:rsid w:val="00633357"/>
    <w:rsid w:val="006335A6"/>
    <w:rsid w:val="0063451B"/>
    <w:rsid w:val="00634999"/>
    <w:rsid w:val="0063500B"/>
    <w:rsid w:val="006351EF"/>
    <w:rsid w:val="00635CFE"/>
    <w:rsid w:val="00636D03"/>
    <w:rsid w:val="00636FBB"/>
    <w:rsid w:val="006370E7"/>
    <w:rsid w:val="00637F80"/>
    <w:rsid w:val="00640197"/>
    <w:rsid w:val="006404B3"/>
    <w:rsid w:val="00640B27"/>
    <w:rsid w:val="00641380"/>
    <w:rsid w:val="00641BA8"/>
    <w:rsid w:val="0064230B"/>
    <w:rsid w:val="006426F3"/>
    <w:rsid w:val="006428E0"/>
    <w:rsid w:val="00642A6F"/>
    <w:rsid w:val="00642D41"/>
    <w:rsid w:val="00642DFE"/>
    <w:rsid w:val="00643AE9"/>
    <w:rsid w:val="00643F1B"/>
    <w:rsid w:val="00645090"/>
    <w:rsid w:val="00645375"/>
    <w:rsid w:val="006455B5"/>
    <w:rsid w:val="0064590D"/>
    <w:rsid w:val="00647585"/>
    <w:rsid w:val="00647CAD"/>
    <w:rsid w:val="00650E43"/>
    <w:rsid w:val="0065322B"/>
    <w:rsid w:val="006533E3"/>
    <w:rsid w:val="006548AB"/>
    <w:rsid w:val="00654A9B"/>
    <w:rsid w:val="0065573A"/>
    <w:rsid w:val="006569FE"/>
    <w:rsid w:val="00657FB6"/>
    <w:rsid w:val="0066077F"/>
    <w:rsid w:val="0066093E"/>
    <w:rsid w:val="006612DF"/>
    <w:rsid w:val="00661CEA"/>
    <w:rsid w:val="00661D64"/>
    <w:rsid w:val="006624E2"/>
    <w:rsid w:val="006630F3"/>
    <w:rsid w:val="0066336B"/>
    <w:rsid w:val="0066352D"/>
    <w:rsid w:val="0066386A"/>
    <w:rsid w:val="006640A8"/>
    <w:rsid w:val="0066414F"/>
    <w:rsid w:val="00664BF4"/>
    <w:rsid w:val="0066502C"/>
    <w:rsid w:val="00665654"/>
    <w:rsid w:val="0066581F"/>
    <w:rsid w:val="00665F1D"/>
    <w:rsid w:val="0066611E"/>
    <w:rsid w:val="006666BE"/>
    <w:rsid w:val="00671069"/>
    <w:rsid w:val="00672185"/>
    <w:rsid w:val="00672792"/>
    <w:rsid w:val="00672AF7"/>
    <w:rsid w:val="0067386A"/>
    <w:rsid w:val="00673D3B"/>
    <w:rsid w:val="00673E5B"/>
    <w:rsid w:val="0067423B"/>
    <w:rsid w:val="00674816"/>
    <w:rsid w:val="00674B6F"/>
    <w:rsid w:val="00674BA7"/>
    <w:rsid w:val="00674FDE"/>
    <w:rsid w:val="0067655B"/>
    <w:rsid w:val="00676A3A"/>
    <w:rsid w:val="00676AFE"/>
    <w:rsid w:val="0067770A"/>
    <w:rsid w:val="00677963"/>
    <w:rsid w:val="00677BA2"/>
    <w:rsid w:val="00681E19"/>
    <w:rsid w:val="00681FAD"/>
    <w:rsid w:val="00682106"/>
    <w:rsid w:val="0068278A"/>
    <w:rsid w:val="00682C52"/>
    <w:rsid w:val="0068315E"/>
    <w:rsid w:val="00683CD4"/>
    <w:rsid w:val="006849C0"/>
    <w:rsid w:val="0068512A"/>
    <w:rsid w:val="00687735"/>
    <w:rsid w:val="00687C6C"/>
    <w:rsid w:val="00687E09"/>
    <w:rsid w:val="00690F37"/>
    <w:rsid w:val="006910BF"/>
    <w:rsid w:val="00692ECD"/>
    <w:rsid w:val="006931AF"/>
    <w:rsid w:val="00693501"/>
    <w:rsid w:val="0069371A"/>
    <w:rsid w:val="00694490"/>
    <w:rsid w:val="00694B98"/>
    <w:rsid w:val="00696311"/>
    <w:rsid w:val="006964F0"/>
    <w:rsid w:val="006967E6"/>
    <w:rsid w:val="0069690E"/>
    <w:rsid w:val="006972A5"/>
    <w:rsid w:val="006A00E4"/>
    <w:rsid w:val="006A1253"/>
    <w:rsid w:val="006A1850"/>
    <w:rsid w:val="006A18D0"/>
    <w:rsid w:val="006A2134"/>
    <w:rsid w:val="006A2849"/>
    <w:rsid w:val="006A2C3E"/>
    <w:rsid w:val="006A3283"/>
    <w:rsid w:val="006A3A7C"/>
    <w:rsid w:val="006A3D08"/>
    <w:rsid w:val="006A410F"/>
    <w:rsid w:val="006A4314"/>
    <w:rsid w:val="006A4411"/>
    <w:rsid w:val="006A5DE6"/>
    <w:rsid w:val="006A5F26"/>
    <w:rsid w:val="006A6B5C"/>
    <w:rsid w:val="006A72E2"/>
    <w:rsid w:val="006A7DB1"/>
    <w:rsid w:val="006B0788"/>
    <w:rsid w:val="006B0ABC"/>
    <w:rsid w:val="006B13C6"/>
    <w:rsid w:val="006B15C0"/>
    <w:rsid w:val="006B1830"/>
    <w:rsid w:val="006B2BBD"/>
    <w:rsid w:val="006B3EFA"/>
    <w:rsid w:val="006B4215"/>
    <w:rsid w:val="006B4921"/>
    <w:rsid w:val="006B51A7"/>
    <w:rsid w:val="006B582F"/>
    <w:rsid w:val="006B5C91"/>
    <w:rsid w:val="006B61E7"/>
    <w:rsid w:val="006B70D1"/>
    <w:rsid w:val="006C071E"/>
    <w:rsid w:val="006C0743"/>
    <w:rsid w:val="006C0801"/>
    <w:rsid w:val="006C08B8"/>
    <w:rsid w:val="006C0A68"/>
    <w:rsid w:val="006C0E6D"/>
    <w:rsid w:val="006C1FE0"/>
    <w:rsid w:val="006C292F"/>
    <w:rsid w:val="006C482F"/>
    <w:rsid w:val="006C533F"/>
    <w:rsid w:val="006C5CD7"/>
    <w:rsid w:val="006C5F79"/>
    <w:rsid w:val="006C647B"/>
    <w:rsid w:val="006C72A6"/>
    <w:rsid w:val="006D0479"/>
    <w:rsid w:val="006D094E"/>
    <w:rsid w:val="006D1026"/>
    <w:rsid w:val="006D189A"/>
    <w:rsid w:val="006D18B8"/>
    <w:rsid w:val="006D2B59"/>
    <w:rsid w:val="006D2C8C"/>
    <w:rsid w:val="006D2F3D"/>
    <w:rsid w:val="006D3132"/>
    <w:rsid w:val="006D31E0"/>
    <w:rsid w:val="006D385A"/>
    <w:rsid w:val="006D4319"/>
    <w:rsid w:val="006D4725"/>
    <w:rsid w:val="006D4E67"/>
    <w:rsid w:val="006D4ED8"/>
    <w:rsid w:val="006D4F2E"/>
    <w:rsid w:val="006D504A"/>
    <w:rsid w:val="006D55BE"/>
    <w:rsid w:val="006D5610"/>
    <w:rsid w:val="006D5D37"/>
    <w:rsid w:val="006D6FD8"/>
    <w:rsid w:val="006D7264"/>
    <w:rsid w:val="006D72C6"/>
    <w:rsid w:val="006D762D"/>
    <w:rsid w:val="006D7857"/>
    <w:rsid w:val="006E00A9"/>
    <w:rsid w:val="006E0585"/>
    <w:rsid w:val="006E0FCE"/>
    <w:rsid w:val="006E14D0"/>
    <w:rsid w:val="006E166D"/>
    <w:rsid w:val="006E2352"/>
    <w:rsid w:val="006E25AA"/>
    <w:rsid w:val="006E29E1"/>
    <w:rsid w:val="006E2F6B"/>
    <w:rsid w:val="006E37D8"/>
    <w:rsid w:val="006E4BBC"/>
    <w:rsid w:val="006E55BA"/>
    <w:rsid w:val="006E6B36"/>
    <w:rsid w:val="006E7077"/>
    <w:rsid w:val="006F04E7"/>
    <w:rsid w:val="006F05B1"/>
    <w:rsid w:val="006F0816"/>
    <w:rsid w:val="006F0DFE"/>
    <w:rsid w:val="006F1141"/>
    <w:rsid w:val="006F11C3"/>
    <w:rsid w:val="006F243F"/>
    <w:rsid w:val="006F2491"/>
    <w:rsid w:val="006F3768"/>
    <w:rsid w:val="006F3F10"/>
    <w:rsid w:val="006F400A"/>
    <w:rsid w:val="006F4736"/>
    <w:rsid w:val="006F47A5"/>
    <w:rsid w:val="006F4F34"/>
    <w:rsid w:val="006F6090"/>
    <w:rsid w:val="006F633E"/>
    <w:rsid w:val="006F67BE"/>
    <w:rsid w:val="006F7A01"/>
    <w:rsid w:val="006F7FB6"/>
    <w:rsid w:val="007004CB"/>
    <w:rsid w:val="0070063E"/>
    <w:rsid w:val="007016A8"/>
    <w:rsid w:val="00704570"/>
    <w:rsid w:val="00705C61"/>
    <w:rsid w:val="00705CF9"/>
    <w:rsid w:val="00706040"/>
    <w:rsid w:val="007071FF"/>
    <w:rsid w:val="00710A81"/>
    <w:rsid w:val="00710CF6"/>
    <w:rsid w:val="007111FC"/>
    <w:rsid w:val="00712A1B"/>
    <w:rsid w:val="00712AAC"/>
    <w:rsid w:val="0071358D"/>
    <w:rsid w:val="0071421D"/>
    <w:rsid w:val="007146FC"/>
    <w:rsid w:val="00714E33"/>
    <w:rsid w:val="0071545E"/>
    <w:rsid w:val="00716266"/>
    <w:rsid w:val="007162B8"/>
    <w:rsid w:val="00716710"/>
    <w:rsid w:val="00717A8B"/>
    <w:rsid w:val="00717AA8"/>
    <w:rsid w:val="00717D38"/>
    <w:rsid w:val="00720600"/>
    <w:rsid w:val="007212D5"/>
    <w:rsid w:val="00721EA9"/>
    <w:rsid w:val="0072293F"/>
    <w:rsid w:val="007230AC"/>
    <w:rsid w:val="00723AE7"/>
    <w:rsid w:val="00724E2F"/>
    <w:rsid w:val="00725646"/>
    <w:rsid w:val="00726DF2"/>
    <w:rsid w:val="0072747A"/>
    <w:rsid w:val="00727A42"/>
    <w:rsid w:val="007303AE"/>
    <w:rsid w:val="00730C8D"/>
    <w:rsid w:val="00731342"/>
    <w:rsid w:val="00731B5C"/>
    <w:rsid w:val="00731DB8"/>
    <w:rsid w:val="00732108"/>
    <w:rsid w:val="00732445"/>
    <w:rsid w:val="00732D51"/>
    <w:rsid w:val="00733C17"/>
    <w:rsid w:val="00734395"/>
    <w:rsid w:val="00734CA1"/>
    <w:rsid w:val="00734D0E"/>
    <w:rsid w:val="00735467"/>
    <w:rsid w:val="007356E1"/>
    <w:rsid w:val="0073695E"/>
    <w:rsid w:val="00736B7A"/>
    <w:rsid w:val="007370B7"/>
    <w:rsid w:val="00737479"/>
    <w:rsid w:val="00737985"/>
    <w:rsid w:val="00737B10"/>
    <w:rsid w:val="00737FAF"/>
    <w:rsid w:val="00737FE0"/>
    <w:rsid w:val="00740AFC"/>
    <w:rsid w:val="00740CD3"/>
    <w:rsid w:val="0074173B"/>
    <w:rsid w:val="00741FB8"/>
    <w:rsid w:val="00741FEF"/>
    <w:rsid w:val="007424DD"/>
    <w:rsid w:val="007428AD"/>
    <w:rsid w:val="00742D69"/>
    <w:rsid w:val="00742DA0"/>
    <w:rsid w:val="00742E29"/>
    <w:rsid w:val="00743400"/>
    <w:rsid w:val="00744300"/>
    <w:rsid w:val="0074453A"/>
    <w:rsid w:val="00744DAF"/>
    <w:rsid w:val="00745538"/>
    <w:rsid w:val="00745B44"/>
    <w:rsid w:val="00745FBD"/>
    <w:rsid w:val="00746066"/>
    <w:rsid w:val="00746C42"/>
    <w:rsid w:val="00747269"/>
    <w:rsid w:val="0074729F"/>
    <w:rsid w:val="0075006F"/>
    <w:rsid w:val="00750237"/>
    <w:rsid w:val="00750851"/>
    <w:rsid w:val="00750FAF"/>
    <w:rsid w:val="0075101C"/>
    <w:rsid w:val="007513B0"/>
    <w:rsid w:val="0075184E"/>
    <w:rsid w:val="007518FE"/>
    <w:rsid w:val="00752590"/>
    <w:rsid w:val="007528BA"/>
    <w:rsid w:val="00752DB3"/>
    <w:rsid w:val="007531C4"/>
    <w:rsid w:val="007535CC"/>
    <w:rsid w:val="00753C25"/>
    <w:rsid w:val="00753F71"/>
    <w:rsid w:val="00754680"/>
    <w:rsid w:val="00754A2E"/>
    <w:rsid w:val="00754A5F"/>
    <w:rsid w:val="007553E1"/>
    <w:rsid w:val="00755527"/>
    <w:rsid w:val="00755774"/>
    <w:rsid w:val="00755855"/>
    <w:rsid w:val="00756632"/>
    <w:rsid w:val="00757370"/>
    <w:rsid w:val="00757D7A"/>
    <w:rsid w:val="00757F70"/>
    <w:rsid w:val="0076043B"/>
    <w:rsid w:val="0076160F"/>
    <w:rsid w:val="00761732"/>
    <w:rsid w:val="00761758"/>
    <w:rsid w:val="00761AA2"/>
    <w:rsid w:val="00762893"/>
    <w:rsid w:val="00762A4E"/>
    <w:rsid w:val="00762A74"/>
    <w:rsid w:val="00763809"/>
    <w:rsid w:val="007638F3"/>
    <w:rsid w:val="00763E16"/>
    <w:rsid w:val="00764238"/>
    <w:rsid w:val="00764E7C"/>
    <w:rsid w:val="007651A1"/>
    <w:rsid w:val="0076551E"/>
    <w:rsid w:val="00765A81"/>
    <w:rsid w:val="00765EA9"/>
    <w:rsid w:val="0076646B"/>
    <w:rsid w:val="00766D39"/>
    <w:rsid w:val="00770448"/>
    <w:rsid w:val="007708F2"/>
    <w:rsid w:val="00770916"/>
    <w:rsid w:val="00770A09"/>
    <w:rsid w:val="0077183C"/>
    <w:rsid w:val="007720F0"/>
    <w:rsid w:val="007721F5"/>
    <w:rsid w:val="00773202"/>
    <w:rsid w:val="00773269"/>
    <w:rsid w:val="00773628"/>
    <w:rsid w:val="00773A4F"/>
    <w:rsid w:val="00774F0E"/>
    <w:rsid w:val="0077510A"/>
    <w:rsid w:val="00775906"/>
    <w:rsid w:val="00776D5C"/>
    <w:rsid w:val="00776E75"/>
    <w:rsid w:val="00776E7E"/>
    <w:rsid w:val="0077703B"/>
    <w:rsid w:val="007779E6"/>
    <w:rsid w:val="00780ECA"/>
    <w:rsid w:val="00780FAD"/>
    <w:rsid w:val="0078123B"/>
    <w:rsid w:val="007816D4"/>
    <w:rsid w:val="007819F9"/>
    <w:rsid w:val="0078315F"/>
    <w:rsid w:val="00783CD7"/>
    <w:rsid w:val="00784AE9"/>
    <w:rsid w:val="007858FF"/>
    <w:rsid w:val="00787DD7"/>
    <w:rsid w:val="0079017D"/>
    <w:rsid w:val="007912AD"/>
    <w:rsid w:val="0079169F"/>
    <w:rsid w:val="00791A48"/>
    <w:rsid w:val="00791BA8"/>
    <w:rsid w:val="00791C86"/>
    <w:rsid w:val="00792200"/>
    <w:rsid w:val="00792DF5"/>
    <w:rsid w:val="00792F24"/>
    <w:rsid w:val="0079334A"/>
    <w:rsid w:val="00793E83"/>
    <w:rsid w:val="00795250"/>
    <w:rsid w:val="007957FB"/>
    <w:rsid w:val="00796933"/>
    <w:rsid w:val="00796B7D"/>
    <w:rsid w:val="00796F70"/>
    <w:rsid w:val="00797737"/>
    <w:rsid w:val="007A0EB5"/>
    <w:rsid w:val="007A13E0"/>
    <w:rsid w:val="007A1562"/>
    <w:rsid w:val="007A176E"/>
    <w:rsid w:val="007A216A"/>
    <w:rsid w:val="007A2A04"/>
    <w:rsid w:val="007A2C13"/>
    <w:rsid w:val="007A2E48"/>
    <w:rsid w:val="007A4ACC"/>
    <w:rsid w:val="007A54E8"/>
    <w:rsid w:val="007A54F6"/>
    <w:rsid w:val="007A592F"/>
    <w:rsid w:val="007A5B57"/>
    <w:rsid w:val="007A61B9"/>
    <w:rsid w:val="007A6CB0"/>
    <w:rsid w:val="007A6FAE"/>
    <w:rsid w:val="007A7835"/>
    <w:rsid w:val="007B05AE"/>
    <w:rsid w:val="007B0E91"/>
    <w:rsid w:val="007B136E"/>
    <w:rsid w:val="007B15D7"/>
    <w:rsid w:val="007B3056"/>
    <w:rsid w:val="007B6602"/>
    <w:rsid w:val="007C049F"/>
    <w:rsid w:val="007C056C"/>
    <w:rsid w:val="007C099C"/>
    <w:rsid w:val="007C0B91"/>
    <w:rsid w:val="007C2A9F"/>
    <w:rsid w:val="007C2E9C"/>
    <w:rsid w:val="007C43DF"/>
    <w:rsid w:val="007C4716"/>
    <w:rsid w:val="007C4BF5"/>
    <w:rsid w:val="007C5000"/>
    <w:rsid w:val="007C6022"/>
    <w:rsid w:val="007C6C2B"/>
    <w:rsid w:val="007C6CCD"/>
    <w:rsid w:val="007C6E37"/>
    <w:rsid w:val="007C6FD6"/>
    <w:rsid w:val="007C759B"/>
    <w:rsid w:val="007C7917"/>
    <w:rsid w:val="007C7EE0"/>
    <w:rsid w:val="007D041C"/>
    <w:rsid w:val="007D20E7"/>
    <w:rsid w:val="007D2430"/>
    <w:rsid w:val="007D2B61"/>
    <w:rsid w:val="007D2C1A"/>
    <w:rsid w:val="007D2CA9"/>
    <w:rsid w:val="007D2D56"/>
    <w:rsid w:val="007D31F2"/>
    <w:rsid w:val="007D32D8"/>
    <w:rsid w:val="007D4984"/>
    <w:rsid w:val="007D5A1E"/>
    <w:rsid w:val="007D5FC5"/>
    <w:rsid w:val="007D615B"/>
    <w:rsid w:val="007D62FC"/>
    <w:rsid w:val="007D6307"/>
    <w:rsid w:val="007D6B89"/>
    <w:rsid w:val="007D70EA"/>
    <w:rsid w:val="007D71CD"/>
    <w:rsid w:val="007D74A5"/>
    <w:rsid w:val="007D7A79"/>
    <w:rsid w:val="007E0241"/>
    <w:rsid w:val="007E0DF5"/>
    <w:rsid w:val="007E0F59"/>
    <w:rsid w:val="007E1613"/>
    <w:rsid w:val="007E1F24"/>
    <w:rsid w:val="007E2169"/>
    <w:rsid w:val="007E2A50"/>
    <w:rsid w:val="007E2AD9"/>
    <w:rsid w:val="007E3EE6"/>
    <w:rsid w:val="007E43A0"/>
    <w:rsid w:val="007E43F1"/>
    <w:rsid w:val="007E454F"/>
    <w:rsid w:val="007E4E27"/>
    <w:rsid w:val="007E5072"/>
    <w:rsid w:val="007E549F"/>
    <w:rsid w:val="007E683D"/>
    <w:rsid w:val="007F085D"/>
    <w:rsid w:val="007F0AFF"/>
    <w:rsid w:val="007F0DBA"/>
    <w:rsid w:val="007F14F4"/>
    <w:rsid w:val="007F1D07"/>
    <w:rsid w:val="007F1E8A"/>
    <w:rsid w:val="007F2121"/>
    <w:rsid w:val="007F2666"/>
    <w:rsid w:val="007F30AE"/>
    <w:rsid w:val="007F3170"/>
    <w:rsid w:val="007F321A"/>
    <w:rsid w:val="007F35D2"/>
    <w:rsid w:val="007F3BA8"/>
    <w:rsid w:val="007F4165"/>
    <w:rsid w:val="007F4443"/>
    <w:rsid w:val="007F4561"/>
    <w:rsid w:val="007F55BA"/>
    <w:rsid w:val="007F69A2"/>
    <w:rsid w:val="007F773A"/>
    <w:rsid w:val="00800404"/>
    <w:rsid w:val="0080108F"/>
    <w:rsid w:val="008010E9"/>
    <w:rsid w:val="00801968"/>
    <w:rsid w:val="008029AD"/>
    <w:rsid w:val="00803819"/>
    <w:rsid w:val="00803D73"/>
    <w:rsid w:val="0080407A"/>
    <w:rsid w:val="00804842"/>
    <w:rsid w:val="00804F1B"/>
    <w:rsid w:val="0080664C"/>
    <w:rsid w:val="00806768"/>
    <w:rsid w:val="00806867"/>
    <w:rsid w:val="008070D1"/>
    <w:rsid w:val="00807505"/>
    <w:rsid w:val="00807E28"/>
    <w:rsid w:val="00810935"/>
    <w:rsid w:val="008111FC"/>
    <w:rsid w:val="00811978"/>
    <w:rsid w:val="00812644"/>
    <w:rsid w:val="00813151"/>
    <w:rsid w:val="008131E4"/>
    <w:rsid w:val="0081325E"/>
    <w:rsid w:val="0081374C"/>
    <w:rsid w:val="00813C25"/>
    <w:rsid w:val="00813C73"/>
    <w:rsid w:val="00814E26"/>
    <w:rsid w:val="008153AC"/>
    <w:rsid w:val="008157BA"/>
    <w:rsid w:val="008158B7"/>
    <w:rsid w:val="00815A89"/>
    <w:rsid w:val="00815BCB"/>
    <w:rsid w:val="00815E17"/>
    <w:rsid w:val="00816617"/>
    <w:rsid w:val="008172DA"/>
    <w:rsid w:val="0081736B"/>
    <w:rsid w:val="00817581"/>
    <w:rsid w:val="00817AA3"/>
    <w:rsid w:val="00820371"/>
    <w:rsid w:val="00820FF6"/>
    <w:rsid w:val="00822020"/>
    <w:rsid w:val="00822445"/>
    <w:rsid w:val="008226DE"/>
    <w:rsid w:val="0082281B"/>
    <w:rsid w:val="00822CC7"/>
    <w:rsid w:val="0082319B"/>
    <w:rsid w:val="008237FF"/>
    <w:rsid w:val="00823BD7"/>
    <w:rsid w:val="00823F95"/>
    <w:rsid w:val="0082440B"/>
    <w:rsid w:val="00824B5B"/>
    <w:rsid w:val="00825659"/>
    <w:rsid w:val="00825909"/>
    <w:rsid w:val="008263AB"/>
    <w:rsid w:val="0082714C"/>
    <w:rsid w:val="008271E0"/>
    <w:rsid w:val="0083084D"/>
    <w:rsid w:val="0083151E"/>
    <w:rsid w:val="0083204F"/>
    <w:rsid w:val="008320BD"/>
    <w:rsid w:val="00832696"/>
    <w:rsid w:val="00832C4C"/>
    <w:rsid w:val="00834226"/>
    <w:rsid w:val="0083464A"/>
    <w:rsid w:val="0083639F"/>
    <w:rsid w:val="008364AE"/>
    <w:rsid w:val="008369EF"/>
    <w:rsid w:val="00837554"/>
    <w:rsid w:val="00837579"/>
    <w:rsid w:val="00837CE1"/>
    <w:rsid w:val="00837DC6"/>
    <w:rsid w:val="008402C9"/>
    <w:rsid w:val="008405B0"/>
    <w:rsid w:val="0084097B"/>
    <w:rsid w:val="0084159A"/>
    <w:rsid w:val="0084184B"/>
    <w:rsid w:val="00841F61"/>
    <w:rsid w:val="00842786"/>
    <w:rsid w:val="00842B00"/>
    <w:rsid w:val="00842E58"/>
    <w:rsid w:val="00843143"/>
    <w:rsid w:val="00843A25"/>
    <w:rsid w:val="00843FB4"/>
    <w:rsid w:val="00844738"/>
    <w:rsid w:val="0084473C"/>
    <w:rsid w:val="00845694"/>
    <w:rsid w:val="00845D21"/>
    <w:rsid w:val="008468DA"/>
    <w:rsid w:val="00846BB1"/>
    <w:rsid w:val="00847598"/>
    <w:rsid w:val="0084787A"/>
    <w:rsid w:val="00850218"/>
    <w:rsid w:val="0085073A"/>
    <w:rsid w:val="008520FF"/>
    <w:rsid w:val="00852260"/>
    <w:rsid w:val="00852542"/>
    <w:rsid w:val="00853B04"/>
    <w:rsid w:val="00853C24"/>
    <w:rsid w:val="00855F9F"/>
    <w:rsid w:val="0085622F"/>
    <w:rsid w:val="00856EAC"/>
    <w:rsid w:val="008570D5"/>
    <w:rsid w:val="0085770C"/>
    <w:rsid w:val="008577FB"/>
    <w:rsid w:val="00860101"/>
    <w:rsid w:val="008609E9"/>
    <w:rsid w:val="0086139F"/>
    <w:rsid w:val="0086220A"/>
    <w:rsid w:val="008622EA"/>
    <w:rsid w:val="00862CC6"/>
    <w:rsid w:val="00862D95"/>
    <w:rsid w:val="00863087"/>
    <w:rsid w:val="00863252"/>
    <w:rsid w:val="0086333E"/>
    <w:rsid w:val="008635E8"/>
    <w:rsid w:val="00863A05"/>
    <w:rsid w:val="00863DAC"/>
    <w:rsid w:val="0086662E"/>
    <w:rsid w:val="00866EB1"/>
    <w:rsid w:val="00867D8A"/>
    <w:rsid w:val="008708AB"/>
    <w:rsid w:val="00870C7C"/>
    <w:rsid w:val="00870C85"/>
    <w:rsid w:val="00870E8D"/>
    <w:rsid w:val="00871D19"/>
    <w:rsid w:val="00871FB7"/>
    <w:rsid w:val="008728CC"/>
    <w:rsid w:val="00872E47"/>
    <w:rsid w:val="00873504"/>
    <w:rsid w:val="008746A7"/>
    <w:rsid w:val="00874FF7"/>
    <w:rsid w:val="0087563E"/>
    <w:rsid w:val="00875FCE"/>
    <w:rsid w:val="008767B3"/>
    <w:rsid w:val="00877172"/>
    <w:rsid w:val="008772A5"/>
    <w:rsid w:val="00877B90"/>
    <w:rsid w:val="00877BFE"/>
    <w:rsid w:val="00877F03"/>
    <w:rsid w:val="00880AB5"/>
    <w:rsid w:val="00880AEC"/>
    <w:rsid w:val="008813CF"/>
    <w:rsid w:val="00881A21"/>
    <w:rsid w:val="00881DDC"/>
    <w:rsid w:val="00881EDD"/>
    <w:rsid w:val="00882530"/>
    <w:rsid w:val="00883317"/>
    <w:rsid w:val="00883376"/>
    <w:rsid w:val="008833D8"/>
    <w:rsid w:val="00883480"/>
    <w:rsid w:val="00883EE0"/>
    <w:rsid w:val="0088429C"/>
    <w:rsid w:val="00885F4F"/>
    <w:rsid w:val="0088756D"/>
    <w:rsid w:val="0089004D"/>
    <w:rsid w:val="0089047A"/>
    <w:rsid w:val="00891104"/>
    <w:rsid w:val="008914E4"/>
    <w:rsid w:val="00891953"/>
    <w:rsid w:val="008926B5"/>
    <w:rsid w:val="008926CE"/>
    <w:rsid w:val="0089277F"/>
    <w:rsid w:val="00892A0A"/>
    <w:rsid w:val="00892A19"/>
    <w:rsid w:val="00892D5C"/>
    <w:rsid w:val="00892D5E"/>
    <w:rsid w:val="0089369C"/>
    <w:rsid w:val="0089545A"/>
    <w:rsid w:val="00896104"/>
    <w:rsid w:val="00896632"/>
    <w:rsid w:val="008966A7"/>
    <w:rsid w:val="00896C03"/>
    <w:rsid w:val="0089711A"/>
    <w:rsid w:val="00897163"/>
    <w:rsid w:val="008A0012"/>
    <w:rsid w:val="008A0162"/>
    <w:rsid w:val="008A0C5B"/>
    <w:rsid w:val="008A135F"/>
    <w:rsid w:val="008A1D87"/>
    <w:rsid w:val="008A24A8"/>
    <w:rsid w:val="008A2874"/>
    <w:rsid w:val="008A2AF0"/>
    <w:rsid w:val="008A2DB5"/>
    <w:rsid w:val="008A34A9"/>
    <w:rsid w:val="008A488C"/>
    <w:rsid w:val="008A49C7"/>
    <w:rsid w:val="008A5381"/>
    <w:rsid w:val="008A6B26"/>
    <w:rsid w:val="008A76EE"/>
    <w:rsid w:val="008A7A8C"/>
    <w:rsid w:val="008A7D67"/>
    <w:rsid w:val="008B0343"/>
    <w:rsid w:val="008B0817"/>
    <w:rsid w:val="008B095B"/>
    <w:rsid w:val="008B13AF"/>
    <w:rsid w:val="008B157F"/>
    <w:rsid w:val="008B1737"/>
    <w:rsid w:val="008B1EB8"/>
    <w:rsid w:val="008B1FBF"/>
    <w:rsid w:val="008B32DF"/>
    <w:rsid w:val="008B3ACE"/>
    <w:rsid w:val="008B403A"/>
    <w:rsid w:val="008B4127"/>
    <w:rsid w:val="008B4B94"/>
    <w:rsid w:val="008B4EB6"/>
    <w:rsid w:val="008B5128"/>
    <w:rsid w:val="008B5715"/>
    <w:rsid w:val="008B5976"/>
    <w:rsid w:val="008B5983"/>
    <w:rsid w:val="008B66F3"/>
    <w:rsid w:val="008B680B"/>
    <w:rsid w:val="008B6DEC"/>
    <w:rsid w:val="008B713E"/>
    <w:rsid w:val="008B74E5"/>
    <w:rsid w:val="008B77FA"/>
    <w:rsid w:val="008B79B3"/>
    <w:rsid w:val="008B7D39"/>
    <w:rsid w:val="008C07D0"/>
    <w:rsid w:val="008C098C"/>
    <w:rsid w:val="008C0A6C"/>
    <w:rsid w:val="008C0F4F"/>
    <w:rsid w:val="008C165E"/>
    <w:rsid w:val="008C174A"/>
    <w:rsid w:val="008C1FFD"/>
    <w:rsid w:val="008C25E4"/>
    <w:rsid w:val="008C269C"/>
    <w:rsid w:val="008C27CD"/>
    <w:rsid w:val="008C3153"/>
    <w:rsid w:val="008C3984"/>
    <w:rsid w:val="008C4C27"/>
    <w:rsid w:val="008C6121"/>
    <w:rsid w:val="008C6225"/>
    <w:rsid w:val="008C65BE"/>
    <w:rsid w:val="008C7947"/>
    <w:rsid w:val="008C7BB2"/>
    <w:rsid w:val="008D15E5"/>
    <w:rsid w:val="008D1F28"/>
    <w:rsid w:val="008D2683"/>
    <w:rsid w:val="008D39D2"/>
    <w:rsid w:val="008D4042"/>
    <w:rsid w:val="008D442D"/>
    <w:rsid w:val="008D49D3"/>
    <w:rsid w:val="008D4A1F"/>
    <w:rsid w:val="008D5141"/>
    <w:rsid w:val="008D55C2"/>
    <w:rsid w:val="008D583F"/>
    <w:rsid w:val="008D59BE"/>
    <w:rsid w:val="008D59EB"/>
    <w:rsid w:val="008D6A60"/>
    <w:rsid w:val="008D7787"/>
    <w:rsid w:val="008D7793"/>
    <w:rsid w:val="008D7D6E"/>
    <w:rsid w:val="008E003B"/>
    <w:rsid w:val="008E03E9"/>
    <w:rsid w:val="008E1019"/>
    <w:rsid w:val="008E194E"/>
    <w:rsid w:val="008E1FA4"/>
    <w:rsid w:val="008E2582"/>
    <w:rsid w:val="008E265E"/>
    <w:rsid w:val="008E34CC"/>
    <w:rsid w:val="008E51DD"/>
    <w:rsid w:val="008E54B6"/>
    <w:rsid w:val="008E5A8B"/>
    <w:rsid w:val="008E5CA4"/>
    <w:rsid w:val="008E6243"/>
    <w:rsid w:val="008E6F68"/>
    <w:rsid w:val="008E7540"/>
    <w:rsid w:val="008E7D41"/>
    <w:rsid w:val="008E7F39"/>
    <w:rsid w:val="008F06A9"/>
    <w:rsid w:val="008F0BBC"/>
    <w:rsid w:val="008F3066"/>
    <w:rsid w:val="008F3441"/>
    <w:rsid w:val="008F3528"/>
    <w:rsid w:val="008F35A8"/>
    <w:rsid w:val="008F38AC"/>
    <w:rsid w:val="008F444E"/>
    <w:rsid w:val="008F49C9"/>
    <w:rsid w:val="008F4C64"/>
    <w:rsid w:val="008F535C"/>
    <w:rsid w:val="008F54AF"/>
    <w:rsid w:val="008F572F"/>
    <w:rsid w:val="008F5E44"/>
    <w:rsid w:val="008F6479"/>
    <w:rsid w:val="008F73FD"/>
    <w:rsid w:val="008F7D69"/>
    <w:rsid w:val="00900346"/>
    <w:rsid w:val="009011AE"/>
    <w:rsid w:val="009017BC"/>
    <w:rsid w:val="00901B77"/>
    <w:rsid w:val="00902687"/>
    <w:rsid w:val="009029BC"/>
    <w:rsid w:val="00902D0D"/>
    <w:rsid w:val="00903010"/>
    <w:rsid w:val="0090336C"/>
    <w:rsid w:val="00903B89"/>
    <w:rsid w:val="00904E04"/>
    <w:rsid w:val="00904F16"/>
    <w:rsid w:val="00905C65"/>
    <w:rsid w:val="00907A50"/>
    <w:rsid w:val="00907B44"/>
    <w:rsid w:val="00907C7B"/>
    <w:rsid w:val="00910749"/>
    <w:rsid w:val="00910A0D"/>
    <w:rsid w:val="00910EE8"/>
    <w:rsid w:val="00911DF1"/>
    <w:rsid w:val="00911E10"/>
    <w:rsid w:val="00911F35"/>
    <w:rsid w:val="009126D8"/>
    <w:rsid w:val="009138C3"/>
    <w:rsid w:val="00914EB1"/>
    <w:rsid w:val="00915499"/>
    <w:rsid w:val="0091553D"/>
    <w:rsid w:val="00915AA6"/>
    <w:rsid w:val="00915C54"/>
    <w:rsid w:val="00915CDE"/>
    <w:rsid w:val="00915CE5"/>
    <w:rsid w:val="009161F2"/>
    <w:rsid w:val="00916812"/>
    <w:rsid w:val="00916D84"/>
    <w:rsid w:val="009179BE"/>
    <w:rsid w:val="00917B37"/>
    <w:rsid w:val="009200A4"/>
    <w:rsid w:val="00920551"/>
    <w:rsid w:val="00920ECC"/>
    <w:rsid w:val="0092111D"/>
    <w:rsid w:val="0092159F"/>
    <w:rsid w:val="00921812"/>
    <w:rsid w:val="00921CD2"/>
    <w:rsid w:val="0092258F"/>
    <w:rsid w:val="00922BFD"/>
    <w:rsid w:val="009236D4"/>
    <w:rsid w:val="009239ED"/>
    <w:rsid w:val="00925382"/>
    <w:rsid w:val="00925811"/>
    <w:rsid w:val="00925817"/>
    <w:rsid w:val="00926586"/>
    <w:rsid w:val="009265FC"/>
    <w:rsid w:val="009268C1"/>
    <w:rsid w:val="009279F1"/>
    <w:rsid w:val="00927ADC"/>
    <w:rsid w:val="00930B4B"/>
    <w:rsid w:val="00930E8B"/>
    <w:rsid w:val="00930FB1"/>
    <w:rsid w:val="00931710"/>
    <w:rsid w:val="009317C8"/>
    <w:rsid w:val="009318CC"/>
    <w:rsid w:val="00931988"/>
    <w:rsid w:val="0093202D"/>
    <w:rsid w:val="009320B1"/>
    <w:rsid w:val="009325AC"/>
    <w:rsid w:val="00932935"/>
    <w:rsid w:val="0093351B"/>
    <w:rsid w:val="00933677"/>
    <w:rsid w:val="00933ACA"/>
    <w:rsid w:val="00934839"/>
    <w:rsid w:val="00935199"/>
    <w:rsid w:val="00935552"/>
    <w:rsid w:val="009358AE"/>
    <w:rsid w:val="00935F0F"/>
    <w:rsid w:val="00935F3D"/>
    <w:rsid w:val="00936DF6"/>
    <w:rsid w:val="00940439"/>
    <w:rsid w:val="00940C59"/>
    <w:rsid w:val="00941181"/>
    <w:rsid w:val="0094321C"/>
    <w:rsid w:val="00943C9D"/>
    <w:rsid w:val="00944DD5"/>
    <w:rsid w:val="00944E21"/>
    <w:rsid w:val="00945010"/>
    <w:rsid w:val="00945224"/>
    <w:rsid w:val="00945313"/>
    <w:rsid w:val="00945449"/>
    <w:rsid w:val="009459D3"/>
    <w:rsid w:val="00946696"/>
    <w:rsid w:val="00946FF2"/>
    <w:rsid w:val="009474F0"/>
    <w:rsid w:val="00951CB2"/>
    <w:rsid w:val="009523AB"/>
    <w:rsid w:val="00952498"/>
    <w:rsid w:val="00952627"/>
    <w:rsid w:val="00953AD2"/>
    <w:rsid w:val="0095462E"/>
    <w:rsid w:val="00954640"/>
    <w:rsid w:val="00954807"/>
    <w:rsid w:val="00954922"/>
    <w:rsid w:val="009550CB"/>
    <w:rsid w:val="009553D0"/>
    <w:rsid w:val="00955E18"/>
    <w:rsid w:val="009568FA"/>
    <w:rsid w:val="00956EED"/>
    <w:rsid w:val="0095711F"/>
    <w:rsid w:val="009572C2"/>
    <w:rsid w:val="00957A64"/>
    <w:rsid w:val="009606AC"/>
    <w:rsid w:val="00960A14"/>
    <w:rsid w:val="0096125A"/>
    <w:rsid w:val="00961474"/>
    <w:rsid w:val="00961DC9"/>
    <w:rsid w:val="00961F3C"/>
    <w:rsid w:val="009620F6"/>
    <w:rsid w:val="0096341F"/>
    <w:rsid w:val="009636A4"/>
    <w:rsid w:val="00964336"/>
    <w:rsid w:val="0096438D"/>
    <w:rsid w:val="00964895"/>
    <w:rsid w:val="00964FCB"/>
    <w:rsid w:val="00965E2C"/>
    <w:rsid w:val="00966305"/>
    <w:rsid w:val="009663A5"/>
    <w:rsid w:val="0096652F"/>
    <w:rsid w:val="009676BB"/>
    <w:rsid w:val="00970346"/>
    <w:rsid w:val="009708B0"/>
    <w:rsid w:val="00970B4A"/>
    <w:rsid w:val="00970CC5"/>
    <w:rsid w:val="00970F8A"/>
    <w:rsid w:val="009728CE"/>
    <w:rsid w:val="00973333"/>
    <w:rsid w:val="00974459"/>
    <w:rsid w:val="00974A83"/>
    <w:rsid w:val="009750C7"/>
    <w:rsid w:val="0097692C"/>
    <w:rsid w:val="00980BEE"/>
    <w:rsid w:val="00981225"/>
    <w:rsid w:val="0098155B"/>
    <w:rsid w:val="009820EB"/>
    <w:rsid w:val="00982800"/>
    <w:rsid w:val="009829AA"/>
    <w:rsid w:val="00983244"/>
    <w:rsid w:val="0098343D"/>
    <w:rsid w:val="009839F6"/>
    <w:rsid w:val="00983D9B"/>
    <w:rsid w:val="00984447"/>
    <w:rsid w:val="00984D0C"/>
    <w:rsid w:val="0098540C"/>
    <w:rsid w:val="00987A69"/>
    <w:rsid w:val="00987E13"/>
    <w:rsid w:val="009901FE"/>
    <w:rsid w:val="0099027E"/>
    <w:rsid w:val="009903DD"/>
    <w:rsid w:val="00990891"/>
    <w:rsid w:val="00990B41"/>
    <w:rsid w:val="009911AE"/>
    <w:rsid w:val="00991933"/>
    <w:rsid w:val="0099206E"/>
    <w:rsid w:val="00992D93"/>
    <w:rsid w:val="00993290"/>
    <w:rsid w:val="009932C8"/>
    <w:rsid w:val="009936EC"/>
    <w:rsid w:val="00993848"/>
    <w:rsid w:val="00993E0C"/>
    <w:rsid w:val="009949E1"/>
    <w:rsid w:val="009949F4"/>
    <w:rsid w:val="00995658"/>
    <w:rsid w:val="00997554"/>
    <w:rsid w:val="009A0747"/>
    <w:rsid w:val="009A0D54"/>
    <w:rsid w:val="009A10DE"/>
    <w:rsid w:val="009A1F37"/>
    <w:rsid w:val="009A227B"/>
    <w:rsid w:val="009A23C2"/>
    <w:rsid w:val="009A283F"/>
    <w:rsid w:val="009A32AF"/>
    <w:rsid w:val="009A357C"/>
    <w:rsid w:val="009A3A7F"/>
    <w:rsid w:val="009A40B6"/>
    <w:rsid w:val="009A4945"/>
    <w:rsid w:val="009A5492"/>
    <w:rsid w:val="009A59FE"/>
    <w:rsid w:val="009A60E2"/>
    <w:rsid w:val="009A6167"/>
    <w:rsid w:val="009A7603"/>
    <w:rsid w:val="009A7DC7"/>
    <w:rsid w:val="009A7FDB"/>
    <w:rsid w:val="009B0046"/>
    <w:rsid w:val="009B01D2"/>
    <w:rsid w:val="009B0F4A"/>
    <w:rsid w:val="009B12FF"/>
    <w:rsid w:val="009B1B7E"/>
    <w:rsid w:val="009B1BAE"/>
    <w:rsid w:val="009B2305"/>
    <w:rsid w:val="009B30C3"/>
    <w:rsid w:val="009B33F4"/>
    <w:rsid w:val="009B3D55"/>
    <w:rsid w:val="009B461B"/>
    <w:rsid w:val="009B4AF3"/>
    <w:rsid w:val="009B4F16"/>
    <w:rsid w:val="009B52AC"/>
    <w:rsid w:val="009B7DBC"/>
    <w:rsid w:val="009C0138"/>
    <w:rsid w:val="009C01D6"/>
    <w:rsid w:val="009C0471"/>
    <w:rsid w:val="009C057A"/>
    <w:rsid w:val="009C18C3"/>
    <w:rsid w:val="009C18E0"/>
    <w:rsid w:val="009C1DDA"/>
    <w:rsid w:val="009C2623"/>
    <w:rsid w:val="009C31BC"/>
    <w:rsid w:val="009C37D9"/>
    <w:rsid w:val="009C39FA"/>
    <w:rsid w:val="009C454D"/>
    <w:rsid w:val="009C4822"/>
    <w:rsid w:val="009C5358"/>
    <w:rsid w:val="009C5400"/>
    <w:rsid w:val="009C5490"/>
    <w:rsid w:val="009C559C"/>
    <w:rsid w:val="009C5CE6"/>
    <w:rsid w:val="009C63FF"/>
    <w:rsid w:val="009C7637"/>
    <w:rsid w:val="009C77A6"/>
    <w:rsid w:val="009C7E4E"/>
    <w:rsid w:val="009D00E4"/>
    <w:rsid w:val="009D0245"/>
    <w:rsid w:val="009D0405"/>
    <w:rsid w:val="009D063C"/>
    <w:rsid w:val="009D1BAD"/>
    <w:rsid w:val="009D261F"/>
    <w:rsid w:val="009D2C9D"/>
    <w:rsid w:val="009D309C"/>
    <w:rsid w:val="009D69EB"/>
    <w:rsid w:val="009D6CDF"/>
    <w:rsid w:val="009D7110"/>
    <w:rsid w:val="009D7469"/>
    <w:rsid w:val="009D7E73"/>
    <w:rsid w:val="009E083C"/>
    <w:rsid w:val="009E0C71"/>
    <w:rsid w:val="009E0FB7"/>
    <w:rsid w:val="009E167D"/>
    <w:rsid w:val="009E1E09"/>
    <w:rsid w:val="009E2C71"/>
    <w:rsid w:val="009E3136"/>
    <w:rsid w:val="009E31D5"/>
    <w:rsid w:val="009E31EC"/>
    <w:rsid w:val="009E370F"/>
    <w:rsid w:val="009E3B97"/>
    <w:rsid w:val="009E3CF6"/>
    <w:rsid w:val="009E4923"/>
    <w:rsid w:val="009E4FBA"/>
    <w:rsid w:val="009E503E"/>
    <w:rsid w:val="009E5723"/>
    <w:rsid w:val="009E62F9"/>
    <w:rsid w:val="009E6491"/>
    <w:rsid w:val="009E661F"/>
    <w:rsid w:val="009E6FF9"/>
    <w:rsid w:val="009E75BD"/>
    <w:rsid w:val="009E7F6C"/>
    <w:rsid w:val="009F1586"/>
    <w:rsid w:val="009F32B4"/>
    <w:rsid w:val="009F3AC8"/>
    <w:rsid w:val="009F3C4F"/>
    <w:rsid w:val="009F3E36"/>
    <w:rsid w:val="009F50A6"/>
    <w:rsid w:val="009F5550"/>
    <w:rsid w:val="009F6089"/>
    <w:rsid w:val="009F6155"/>
    <w:rsid w:val="009F6E08"/>
    <w:rsid w:val="009F701F"/>
    <w:rsid w:val="009F773B"/>
    <w:rsid w:val="009F7883"/>
    <w:rsid w:val="009F79CB"/>
    <w:rsid w:val="009F7D97"/>
    <w:rsid w:val="00A00C1F"/>
    <w:rsid w:val="00A014C7"/>
    <w:rsid w:val="00A01537"/>
    <w:rsid w:val="00A02192"/>
    <w:rsid w:val="00A0249E"/>
    <w:rsid w:val="00A02522"/>
    <w:rsid w:val="00A02D65"/>
    <w:rsid w:val="00A03178"/>
    <w:rsid w:val="00A03B1D"/>
    <w:rsid w:val="00A03FF8"/>
    <w:rsid w:val="00A04053"/>
    <w:rsid w:val="00A056AC"/>
    <w:rsid w:val="00A064A3"/>
    <w:rsid w:val="00A07088"/>
    <w:rsid w:val="00A107F8"/>
    <w:rsid w:val="00A10A3A"/>
    <w:rsid w:val="00A11CA4"/>
    <w:rsid w:val="00A121DB"/>
    <w:rsid w:val="00A1275B"/>
    <w:rsid w:val="00A12B26"/>
    <w:rsid w:val="00A13961"/>
    <w:rsid w:val="00A14061"/>
    <w:rsid w:val="00A148C6"/>
    <w:rsid w:val="00A14A64"/>
    <w:rsid w:val="00A14A66"/>
    <w:rsid w:val="00A14F5B"/>
    <w:rsid w:val="00A15A79"/>
    <w:rsid w:val="00A15B10"/>
    <w:rsid w:val="00A15C54"/>
    <w:rsid w:val="00A162DE"/>
    <w:rsid w:val="00A164E7"/>
    <w:rsid w:val="00A16540"/>
    <w:rsid w:val="00A16762"/>
    <w:rsid w:val="00A17343"/>
    <w:rsid w:val="00A175A4"/>
    <w:rsid w:val="00A178D7"/>
    <w:rsid w:val="00A201EC"/>
    <w:rsid w:val="00A2032E"/>
    <w:rsid w:val="00A213B2"/>
    <w:rsid w:val="00A223AF"/>
    <w:rsid w:val="00A22480"/>
    <w:rsid w:val="00A226D8"/>
    <w:rsid w:val="00A2276D"/>
    <w:rsid w:val="00A22814"/>
    <w:rsid w:val="00A22CCD"/>
    <w:rsid w:val="00A235C3"/>
    <w:rsid w:val="00A24E55"/>
    <w:rsid w:val="00A2605F"/>
    <w:rsid w:val="00A262DC"/>
    <w:rsid w:val="00A264D8"/>
    <w:rsid w:val="00A2694E"/>
    <w:rsid w:val="00A26FF5"/>
    <w:rsid w:val="00A2737D"/>
    <w:rsid w:val="00A2758D"/>
    <w:rsid w:val="00A31ACE"/>
    <w:rsid w:val="00A328B9"/>
    <w:rsid w:val="00A32AE9"/>
    <w:rsid w:val="00A32C83"/>
    <w:rsid w:val="00A3357A"/>
    <w:rsid w:val="00A356CD"/>
    <w:rsid w:val="00A3596D"/>
    <w:rsid w:val="00A3619D"/>
    <w:rsid w:val="00A36331"/>
    <w:rsid w:val="00A365C2"/>
    <w:rsid w:val="00A3691C"/>
    <w:rsid w:val="00A36D12"/>
    <w:rsid w:val="00A36FB0"/>
    <w:rsid w:val="00A37937"/>
    <w:rsid w:val="00A3795B"/>
    <w:rsid w:val="00A37CAC"/>
    <w:rsid w:val="00A37F72"/>
    <w:rsid w:val="00A40984"/>
    <w:rsid w:val="00A410A0"/>
    <w:rsid w:val="00A4115C"/>
    <w:rsid w:val="00A41486"/>
    <w:rsid w:val="00A414E4"/>
    <w:rsid w:val="00A41699"/>
    <w:rsid w:val="00A426C0"/>
    <w:rsid w:val="00A42725"/>
    <w:rsid w:val="00A43736"/>
    <w:rsid w:val="00A43A37"/>
    <w:rsid w:val="00A442D7"/>
    <w:rsid w:val="00A44A05"/>
    <w:rsid w:val="00A45625"/>
    <w:rsid w:val="00A45795"/>
    <w:rsid w:val="00A45BB4"/>
    <w:rsid w:val="00A45F96"/>
    <w:rsid w:val="00A4635E"/>
    <w:rsid w:val="00A47DB1"/>
    <w:rsid w:val="00A50B50"/>
    <w:rsid w:val="00A5132C"/>
    <w:rsid w:val="00A5190D"/>
    <w:rsid w:val="00A53B0F"/>
    <w:rsid w:val="00A54374"/>
    <w:rsid w:val="00A5522D"/>
    <w:rsid w:val="00A55637"/>
    <w:rsid w:val="00A55649"/>
    <w:rsid w:val="00A55EA8"/>
    <w:rsid w:val="00A55F3E"/>
    <w:rsid w:val="00A56653"/>
    <w:rsid w:val="00A566E2"/>
    <w:rsid w:val="00A57225"/>
    <w:rsid w:val="00A576E1"/>
    <w:rsid w:val="00A57EFD"/>
    <w:rsid w:val="00A6004F"/>
    <w:rsid w:val="00A602BB"/>
    <w:rsid w:val="00A60FB4"/>
    <w:rsid w:val="00A61028"/>
    <w:rsid w:val="00A61772"/>
    <w:rsid w:val="00A62593"/>
    <w:rsid w:val="00A634A8"/>
    <w:rsid w:val="00A637E6"/>
    <w:rsid w:val="00A638B6"/>
    <w:rsid w:val="00A63B1D"/>
    <w:rsid w:val="00A63BC2"/>
    <w:rsid w:val="00A6414C"/>
    <w:rsid w:val="00A655CB"/>
    <w:rsid w:val="00A66A11"/>
    <w:rsid w:val="00A66A35"/>
    <w:rsid w:val="00A67B6A"/>
    <w:rsid w:val="00A70C69"/>
    <w:rsid w:val="00A70C7B"/>
    <w:rsid w:val="00A71F95"/>
    <w:rsid w:val="00A72092"/>
    <w:rsid w:val="00A723EF"/>
    <w:rsid w:val="00A72463"/>
    <w:rsid w:val="00A73699"/>
    <w:rsid w:val="00A73742"/>
    <w:rsid w:val="00A73882"/>
    <w:rsid w:val="00A7486B"/>
    <w:rsid w:val="00A74E48"/>
    <w:rsid w:val="00A750BB"/>
    <w:rsid w:val="00A76C1A"/>
    <w:rsid w:val="00A77213"/>
    <w:rsid w:val="00A77C14"/>
    <w:rsid w:val="00A80954"/>
    <w:rsid w:val="00A813AE"/>
    <w:rsid w:val="00A81480"/>
    <w:rsid w:val="00A81858"/>
    <w:rsid w:val="00A81BE5"/>
    <w:rsid w:val="00A821F1"/>
    <w:rsid w:val="00A823CF"/>
    <w:rsid w:val="00A8275C"/>
    <w:rsid w:val="00A83A73"/>
    <w:rsid w:val="00A83AA3"/>
    <w:rsid w:val="00A83B39"/>
    <w:rsid w:val="00A85084"/>
    <w:rsid w:val="00A855F3"/>
    <w:rsid w:val="00A85E70"/>
    <w:rsid w:val="00A86745"/>
    <w:rsid w:val="00A868BC"/>
    <w:rsid w:val="00A8776A"/>
    <w:rsid w:val="00A87961"/>
    <w:rsid w:val="00A87A27"/>
    <w:rsid w:val="00A9079E"/>
    <w:rsid w:val="00A908BD"/>
    <w:rsid w:val="00A90F6E"/>
    <w:rsid w:val="00A911FC"/>
    <w:rsid w:val="00A91888"/>
    <w:rsid w:val="00A9258C"/>
    <w:rsid w:val="00A9309F"/>
    <w:rsid w:val="00A93336"/>
    <w:rsid w:val="00A933E7"/>
    <w:rsid w:val="00A94220"/>
    <w:rsid w:val="00A942B5"/>
    <w:rsid w:val="00A94662"/>
    <w:rsid w:val="00A94AAD"/>
    <w:rsid w:val="00A95996"/>
    <w:rsid w:val="00A95A99"/>
    <w:rsid w:val="00A95B1C"/>
    <w:rsid w:val="00A96045"/>
    <w:rsid w:val="00A960FA"/>
    <w:rsid w:val="00A9616B"/>
    <w:rsid w:val="00A971EB"/>
    <w:rsid w:val="00A97EEA"/>
    <w:rsid w:val="00A97FA7"/>
    <w:rsid w:val="00AA043B"/>
    <w:rsid w:val="00AA1C2C"/>
    <w:rsid w:val="00AA24E5"/>
    <w:rsid w:val="00AA25C7"/>
    <w:rsid w:val="00AA37A6"/>
    <w:rsid w:val="00AA4242"/>
    <w:rsid w:val="00AA454A"/>
    <w:rsid w:val="00AA467D"/>
    <w:rsid w:val="00AA472B"/>
    <w:rsid w:val="00AA5E63"/>
    <w:rsid w:val="00AA6D5E"/>
    <w:rsid w:val="00AA6EB7"/>
    <w:rsid w:val="00AA6EC0"/>
    <w:rsid w:val="00AA6FAE"/>
    <w:rsid w:val="00AA7159"/>
    <w:rsid w:val="00AA75D8"/>
    <w:rsid w:val="00AA7768"/>
    <w:rsid w:val="00AB00C0"/>
    <w:rsid w:val="00AB09EE"/>
    <w:rsid w:val="00AB2039"/>
    <w:rsid w:val="00AB23D3"/>
    <w:rsid w:val="00AB310C"/>
    <w:rsid w:val="00AB31DC"/>
    <w:rsid w:val="00AB3BAC"/>
    <w:rsid w:val="00AB3E02"/>
    <w:rsid w:val="00AB5135"/>
    <w:rsid w:val="00AB564C"/>
    <w:rsid w:val="00AB62D1"/>
    <w:rsid w:val="00AB7032"/>
    <w:rsid w:val="00AB707D"/>
    <w:rsid w:val="00AB77CD"/>
    <w:rsid w:val="00AB7AD4"/>
    <w:rsid w:val="00AB7D67"/>
    <w:rsid w:val="00AC02B6"/>
    <w:rsid w:val="00AC05C3"/>
    <w:rsid w:val="00AC0A4D"/>
    <w:rsid w:val="00AC1337"/>
    <w:rsid w:val="00AC16EF"/>
    <w:rsid w:val="00AC2004"/>
    <w:rsid w:val="00AC26CD"/>
    <w:rsid w:val="00AC2B93"/>
    <w:rsid w:val="00AC2CF2"/>
    <w:rsid w:val="00AC2E88"/>
    <w:rsid w:val="00AC3230"/>
    <w:rsid w:val="00AC3488"/>
    <w:rsid w:val="00AC34A4"/>
    <w:rsid w:val="00AC3619"/>
    <w:rsid w:val="00AC4AB2"/>
    <w:rsid w:val="00AC4B42"/>
    <w:rsid w:val="00AC5A72"/>
    <w:rsid w:val="00AC6173"/>
    <w:rsid w:val="00AC66A9"/>
    <w:rsid w:val="00AC6730"/>
    <w:rsid w:val="00AC70EC"/>
    <w:rsid w:val="00AD03F6"/>
    <w:rsid w:val="00AD1261"/>
    <w:rsid w:val="00AD1364"/>
    <w:rsid w:val="00AD250D"/>
    <w:rsid w:val="00AD2907"/>
    <w:rsid w:val="00AD3704"/>
    <w:rsid w:val="00AD3CBE"/>
    <w:rsid w:val="00AD3FCC"/>
    <w:rsid w:val="00AD40E4"/>
    <w:rsid w:val="00AD4C7C"/>
    <w:rsid w:val="00AD4CBE"/>
    <w:rsid w:val="00AD4F3F"/>
    <w:rsid w:val="00AD658C"/>
    <w:rsid w:val="00AD694C"/>
    <w:rsid w:val="00AD6A54"/>
    <w:rsid w:val="00AD6FEF"/>
    <w:rsid w:val="00AE0EFA"/>
    <w:rsid w:val="00AE1863"/>
    <w:rsid w:val="00AE1B5D"/>
    <w:rsid w:val="00AE1C51"/>
    <w:rsid w:val="00AE29F1"/>
    <w:rsid w:val="00AE3274"/>
    <w:rsid w:val="00AE336A"/>
    <w:rsid w:val="00AE65A3"/>
    <w:rsid w:val="00AE698D"/>
    <w:rsid w:val="00AE711D"/>
    <w:rsid w:val="00AE76E7"/>
    <w:rsid w:val="00AF04F8"/>
    <w:rsid w:val="00AF07C0"/>
    <w:rsid w:val="00AF0C2B"/>
    <w:rsid w:val="00AF0C98"/>
    <w:rsid w:val="00AF1060"/>
    <w:rsid w:val="00AF126C"/>
    <w:rsid w:val="00AF12F1"/>
    <w:rsid w:val="00AF17F2"/>
    <w:rsid w:val="00AF1AFB"/>
    <w:rsid w:val="00AF1BED"/>
    <w:rsid w:val="00AF2954"/>
    <w:rsid w:val="00AF2997"/>
    <w:rsid w:val="00AF3A30"/>
    <w:rsid w:val="00AF3C35"/>
    <w:rsid w:val="00AF4765"/>
    <w:rsid w:val="00AF4B9B"/>
    <w:rsid w:val="00AF5A82"/>
    <w:rsid w:val="00AF659C"/>
    <w:rsid w:val="00AF6708"/>
    <w:rsid w:val="00AF7086"/>
    <w:rsid w:val="00AF72A4"/>
    <w:rsid w:val="00AF7ACB"/>
    <w:rsid w:val="00B010BE"/>
    <w:rsid w:val="00B01703"/>
    <w:rsid w:val="00B01AED"/>
    <w:rsid w:val="00B01CFF"/>
    <w:rsid w:val="00B0209A"/>
    <w:rsid w:val="00B02399"/>
    <w:rsid w:val="00B02B76"/>
    <w:rsid w:val="00B0403C"/>
    <w:rsid w:val="00B044A7"/>
    <w:rsid w:val="00B04999"/>
    <w:rsid w:val="00B05042"/>
    <w:rsid w:val="00B051EE"/>
    <w:rsid w:val="00B056AD"/>
    <w:rsid w:val="00B058D2"/>
    <w:rsid w:val="00B05E2C"/>
    <w:rsid w:val="00B05FE2"/>
    <w:rsid w:val="00B06137"/>
    <w:rsid w:val="00B0790E"/>
    <w:rsid w:val="00B079E3"/>
    <w:rsid w:val="00B100DC"/>
    <w:rsid w:val="00B1016C"/>
    <w:rsid w:val="00B102A1"/>
    <w:rsid w:val="00B104A5"/>
    <w:rsid w:val="00B105A4"/>
    <w:rsid w:val="00B108CA"/>
    <w:rsid w:val="00B11C47"/>
    <w:rsid w:val="00B11CB8"/>
    <w:rsid w:val="00B11CBC"/>
    <w:rsid w:val="00B12FB6"/>
    <w:rsid w:val="00B133F9"/>
    <w:rsid w:val="00B13B13"/>
    <w:rsid w:val="00B1451D"/>
    <w:rsid w:val="00B14B0F"/>
    <w:rsid w:val="00B150D2"/>
    <w:rsid w:val="00B15155"/>
    <w:rsid w:val="00B1593C"/>
    <w:rsid w:val="00B15C9E"/>
    <w:rsid w:val="00B16117"/>
    <w:rsid w:val="00B1620F"/>
    <w:rsid w:val="00B16850"/>
    <w:rsid w:val="00B16F73"/>
    <w:rsid w:val="00B1745D"/>
    <w:rsid w:val="00B179C0"/>
    <w:rsid w:val="00B17BFE"/>
    <w:rsid w:val="00B20243"/>
    <w:rsid w:val="00B20343"/>
    <w:rsid w:val="00B20B25"/>
    <w:rsid w:val="00B21B3F"/>
    <w:rsid w:val="00B2234B"/>
    <w:rsid w:val="00B224A5"/>
    <w:rsid w:val="00B22714"/>
    <w:rsid w:val="00B22F7C"/>
    <w:rsid w:val="00B2330E"/>
    <w:rsid w:val="00B23B70"/>
    <w:rsid w:val="00B24B90"/>
    <w:rsid w:val="00B25005"/>
    <w:rsid w:val="00B2527F"/>
    <w:rsid w:val="00B26456"/>
    <w:rsid w:val="00B27036"/>
    <w:rsid w:val="00B304DF"/>
    <w:rsid w:val="00B3075D"/>
    <w:rsid w:val="00B309EB"/>
    <w:rsid w:val="00B30C27"/>
    <w:rsid w:val="00B3111F"/>
    <w:rsid w:val="00B3296F"/>
    <w:rsid w:val="00B329F5"/>
    <w:rsid w:val="00B332E6"/>
    <w:rsid w:val="00B3350F"/>
    <w:rsid w:val="00B339A1"/>
    <w:rsid w:val="00B33C6F"/>
    <w:rsid w:val="00B34B1D"/>
    <w:rsid w:val="00B34DDE"/>
    <w:rsid w:val="00B357FD"/>
    <w:rsid w:val="00B35DCC"/>
    <w:rsid w:val="00B35DEC"/>
    <w:rsid w:val="00B364A0"/>
    <w:rsid w:val="00B36584"/>
    <w:rsid w:val="00B371A8"/>
    <w:rsid w:val="00B37941"/>
    <w:rsid w:val="00B37EAB"/>
    <w:rsid w:val="00B37F22"/>
    <w:rsid w:val="00B37FD4"/>
    <w:rsid w:val="00B407A0"/>
    <w:rsid w:val="00B409DA"/>
    <w:rsid w:val="00B412CF"/>
    <w:rsid w:val="00B41588"/>
    <w:rsid w:val="00B41E97"/>
    <w:rsid w:val="00B42093"/>
    <w:rsid w:val="00B424FD"/>
    <w:rsid w:val="00B43457"/>
    <w:rsid w:val="00B4364F"/>
    <w:rsid w:val="00B43CAD"/>
    <w:rsid w:val="00B440ED"/>
    <w:rsid w:val="00B44773"/>
    <w:rsid w:val="00B466E2"/>
    <w:rsid w:val="00B4699A"/>
    <w:rsid w:val="00B47B16"/>
    <w:rsid w:val="00B519F2"/>
    <w:rsid w:val="00B52227"/>
    <w:rsid w:val="00B522DF"/>
    <w:rsid w:val="00B54B0C"/>
    <w:rsid w:val="00B55092"/>
    <w:rsid w:val="00B55293"/>
    <w:rsid w:val="00B5537C"/>
    <w:rsid w:val="00B55400"/>
    <w:rsid w:val="00B571DF"/>
    <w:rsid w:val="00B57925"/>
    <w:rsid w:val="00B603D0"/>
    <w:rsid w:val="00B608A9"/>
    <w:rsid w:val="00B60C4B"/>
    <w:rsid w:val="00B60E5A"/>
    <w:rsid w:val="00B61E28"/>
    <w:rsid w:val="00B6211E"/>
    <w:rsid w:val="00B6221B"/>
    <w:rsid w:val="00B622BC"/>
    <w:rsid w:val="00B631EC"/>
    <w:rsid w:val="00B6356A"/>
    <w:rsid w:val="00B63BCC"/>
    <w:rsid w:val="00B64951"/>
    <w:rsid w:val="00B64FDB"/>
    <w:rsid w:val="00B655A6"/>
    <w:rsid w:val="00B66D93"/>
    <w:rsid w:val="00B67E66"/>
    <w:rsid w:val="00B67F55"/>
    <w:rsid w:val="00B70021"/>
    <w:rsid w:val="00B707D7"/>
    <w:rsid w:val="00B70B24"/>
    <w:rsid w:val="00B70EFA"/>
    <w:rsid w:val="00B70FF9"/>
    <w:rsid w:val="00B712B2"/>
    <w:rsid w:val="00B714DB"/>
    <w:rsid w:val="00B71702"/>
    <w:rsid w:val="00B71F5C"/>
    <w:rsid w:val="00B721EE"/>
    <w:rsid w:val="00B722F6"/>
    <w:rsid w:val="00B732D4"/>
    <w:rsid w:val="00B7350F"/>
    <w:rsid w:val="00B73E97"/>
    <w:rsid w:val="00B743DC"/>
    <w:rsid w:val="00B753AA"/>
    <w:rsid w:val="00B761C1"/>
    <w:rsid w:val="00B76688"/>
    <w:rsid w:val="00B76EC0"/>
    <w:rsid w:val="00B7749E"/>
    <w:rsid w:val="00B774EB"/>
    <w:rsid w:val="00B77852"/>
    <w:rsid w:val="00B77DB0"/>
    <w:rsid w:val="00B801DB"/>
    <w:rsid w:val="00B81454"/>
    <w:rsid w:val="00B823C7"/>
    <w:rsid w:val="00B826B6"/>
    <w:rsid w:val="00B82935"/>
    <w:rsid w:val="00B83FB0"/>
    <w:rsid w:val="00B840F2"/>
    <w:rsid w:val="00B8449C"/>
    <w:rsid w:val="00B84F99"/>
    <w:rsid w:val="00B8525C"/>
    <w:rsid w:val="00B8590A"/>
    <w:rsid w:val="00B860A1"/>
    <w:rsid w:val="00B87131"/>
    <w:rsid w:val="00B87460"/>
    <w:rsid w:val="00B90683"/>
    <w:rsid w:val="00B907D6"/>
    <w:rsid w:val="00B9147F"/>
    <w:rsid w:val="00B919A9"/>
    <w:rsid w:val="00B9202A"/>
    <w:rsid w:val="00B92C1B"/>
    <w:rsid w:val="00B947F5"/>
    <w:rsid w:val="00B95D29"/>
    <w:rsid w:val="00B95D33"/>
    <w:rsid w:val="00B95FCF"/>
    <w:rsid w:val="00B9658B"/>
    <w:rsid w:val="00BA00C0"/>
    <w:rsid w:val="00BA0408"/>
    <w:rsid w:val="00BA045F"/>
    <w:rsid w:val="00BA11D6"/>
    <w:rsid w:val="00BA13FE"/>
    <w:rsid w:val="00BA157A"/>
    <w:rsid w:val="00BA1DBD"/>
    <w:rsid w:val="00BA20AE"/>
    <w:rsid w:val="00BA2A50"/>
    <w:rsid w:val="00BA404F"/>
    <w:rsid w:val="00BA44E8"/>
    <w:rsid w:val="00BA5257"/>
    <w:rsid w:val="00BA5ED5"/>
    <w:rsid w:val="00BA6053"/>
    <w:rsid w:val="00BA667D"/>
    <w:rsid w:val="00BA6EEC"/>
    <w:rsid w:val="00BA76EF"/>
    <w:rsid w:val="00BB0162"/>
    <w:rsid w:val="00BB07CE"/>
    <w:rsid w:val="00BB1ABB"/>
    <w:rsid w:val="00BB1C58"/>
    <w:rsid w:val="00BB2401"/>
    <w:rsid w:val="00BB24B8"/>
    <w:rsid w:val="00BB2F11"/>
    <w:rsid w:val="00BB3784"/>
    <w:rsid w:val="00BB3BC7"/>
    <w:rsid w:val="00BB3E78"/>
    <w:rsid w:val="00BB4C33"/>
    <w:rsid w:val="00BB5201"/>
    <w:rsid w:val="00BB52E1"/>
    <w:rsid w:val="00BB65BD"/>
    <w:rsid w:val="00BB70ED"/>
    <w:rsid w:val="00BB763E"/>
    <w:rsid w:val="00BB7708"/>
    <w:rsid w:val="00BB7F3C"/>
    <w:rsid w:val="00BC0565"/>
    <w:rsid w:val="00BC13FA"/>
    <w:rsid w:val="00BC15BF"/>
    <w:rsid w:val="00BC2381"/>
    <w:rsid w:val="00BC2719"/>
    <w:rsid w:val="00BC396D"/>
    <w:rsid w:val="00BC7805"/>
    <w:rsid w:val="00BD0BAB"/>
    <w:rsid w:val="00BD299A"/>
    <w:rsid w:val="00BD3DA2"/>
    <w:rsid w:val="00BD498E"/>
    <w:rsid w:val="00BD4B7B"/>
    <w:rsid w:val="00BD4D6A"/>
    <w:rsid w:val="00BD4F44"/>
    <w:rsid w:val="00BD5830"/>
    <w:rsid w:val="00BD5C48"/>
    <w:rsid w:val="00BD5F72"/>
    <w:rsid w:val="00BD6319"/>
    <w:rsid w:val="00BD7579"/>
    <w:rsid w:val="00BE0091"/>
    <w:rsid w:val="00BE0344"/>
    <w:rsid w:val="00BE0577"/>
    <w:rsid w:val="00BE05F6"/>
    <w:rsid w:val="00BE0672"/>
    <w:rsid w:val="00BE09D9"/>
    <w:rsid w:val="00BE0CD0"/>
    <w:rsid w:val="00BE0EDC"/>
    <w:rsid w:val="00BE13D5"/>
    <w:rsid w:val="00BE1437"/>
    <w:rsid w:val="00BE185D"/>
    <w:rsid w:val="00BE1AB4"/>
    <w:rsid w:val="00BE1BC7"/>
    <w:rsid w:val="00BE1F75"/>
    <w:rsid w:val="00BE29AA"/>
    <w:rsid w:val="00BE2F4D"/>
    <w:rsid w:val="00BE335A"/>
    <w:rsid w:val="00BE3FC9"/>
    <w:rsid w:val="00BE4081"/>
    <w:rsid w:val="00BE4111"/>
    <w:rsid w:val="00BE478E"/>
    <w:rsid w:val="00BE4AD5"/>
    <w:rsid w:val="00BE5034"/>
    <w:rsid w:val="00BE5F12"/>
    <w:rsid w:val="00BE6699"/>
    <w:rsid w:val="00BE6742"/>
    <w:rsid w:val="00BE6F74"/>
    <w:rsid w:val="00BE7B97"/>
    <w:rsid w:val="00BF0574"/>
    <w:rsid w:val="00BF1A1C"/>
    <w:rsid w:val="00BF1A81"/>
    <w:rsid w:val="00BF25DC"/>
    <w:rsid w:val="00BF34EA"/>
    <w:rsid w:val="00BF4277"/>
    <w:rsid w:val="00BF4ABF"/>
    <w:rsid w:val="00BF4BFF"/>
    <w:rsid w:val="00BF4E26"/>
    <w:rsid w:val="00BF5AEA"/>
    <w:rsid w:val="00BF6C04"/>
    <w:rsid w:val="00BF6FB2"/>
    <w:rsid w:val="00C01BA5"/>
    <w:rsid w:val="00C023F6"/>
    <w:rsid w:val="00C0258A"/>
    <w:rsid w:val="00C0335D"/>
    <w:rsid w:val="00C04028"/>
    <w:rsid w:val="00C04B82"/>
    <w:rsid w:val="00C06CBE"/>
    <w:rsid w:val="00C071FB"/>
    <w:rsid w:val="00C07542"/>
    <w:rsid w:val="00C07A55"/>
    <w:rsid w:val="00C10E61"/>
    <w:rsid w:val="00C1160F"/>
    <w:rsid w:val="00C11755"/>
    <w:rsid w:val="00C117F7"/>
    <w:rsid w:val="00C121E7"/>
    <w:rsid w:val="00C12448"/>
    <w:rsid w:val="00C12D85"/>
    <w:rsid w:val="00C12F0A"/>
    <w:rsid w:val="00C13301"/>
    <w:rsid w:val="00C1378D"/>
    <w:rsid w:val="00C138CA"/>
    <w:rsid w:val="00C14545"/>
    <w:rsid w:val="00C1495B"/>
    <w:rsid w:val="00C14E3F"/>
    <w:rsid w:val="00C1551F"/>
    <w:rsid w:val="00C15B85"/>
    <w:rsid w:val="00C15C4B"/>
    <w:rsid w:val="00C16DA7"/>
    <w:rsid w:val="00C16DBC"/>
    <w:rsid w:val="00C1759D"/>
    <w:rsid w:val="00C2092A"/>
    <w:rsid w:val="00C20AF0"/>
    <w:rsid w:val="00C20D5F"/>
    <w:rsid w:val="00C20EC0"/>
    <w:rsid w:val="00C21157"/>
    <w:rsid w:val="00C21599"/>
    <w:rsid w:val="00C2167D"/>
    <w:rsid w:val="00C21A15"/>
    <w:rsid w:val="00C22389"/>
    <w:rsid w:val="00C22550"/>
    <w:rsid w:val="00C22651"/>
    <w:rsid w:val="00C22EBE"/>
    <w:rsid w:val="00C23D49"/>
    <w:rsid w:val="00C23D63"/>
    <w:rsid w:val="00C23D76"/>
    <w:rsid w:val="00C23EA8"/>
    <w:rsid w:val="00C246DD"/>
    <w:rsid w:val="00C246FD"/>
    <w:rsid w:val="00C2478D"/>
    <w:rsid w:val="00C26505"/>
    <w:rsid w:val="00C265D2"/>
    <w:rsid w:val="00C26AB8"/>
    <w:rsid w:val="00C2717F"/>
    <w:rsid w:val="00C27A14"/>
    <w:rsid w:val="00C27AA0"/>
    <w:rsid w:val="00C27C7E"/>
    <w:rsid w:val="00C30229"/>
    <w:rsid w:val="00C302D2"/>
    <w:rsid w:val="00C3054F"/>
    <w:rsid w:val="00C31350"/>
    <w:rsid w:val="00C31A99"/>
    <w:rsid w:val="00C321EF"/>
    <w:rsid w:val="00C3258C"/>
    <w:rsid w:val="00C32ABF"/>
    <w:rsid w:val="00C32DF3"/>
    <w:rsid w:val="00C340F5"/>
    <w:rsid w:val="00C34382"/>
    <w:rsid w:val="00C34CF7"/>
    <w:rsid w:val="00C36AE5"/>
    <w:rsid w:val="00C36EDD"/>
    <w:rsid w:val="00C371A5"/>
    <w:rsid w:val="00C40895"/>
    <w:rsid w:val="00C4112C"/>
    <w:rsid w:val="00C415CB"/>
    <w:rsid w:val="00C41F57"/>
    <w:rsid w:val="00C42CBD"/>
    <w:rsid w:val="00C42FA7"/>
    <w:rsid w:val="00C4353F"/>
    <w:rsid w:val="00C436D0"/>
    <w:rsid w:val="00C43F0E"/>
    <w:rsid w:val="00C43F21"/>
    <w:rsid w:val="00C43F54"/>
    <w:rsid w:val="00C44B80"/>
    <w:rsid w:val="00C44FD2"/>
    <w:rsid w:val="00C453E5"/>
    <w:rsid w:val="00C45934"/>
    <w:rsid w:val="00C45D63"/>
    <w:rsid w:val="00C46040"/>
    <w:rsid w:val="00C46889"/>
    <w:rsid w:val="00C46A4C"/>
    <w:rsid w:val="00C47513"/>
    <w:rsid w:val="00C47584"/>
    <w:rsid w:val="00C50B80"/>
    <w:rsid w:val="00C50D30"/>
    <w:rsid w:val="00C50F01"/>
    <w:rsid w:val="00C512CA"/>
    <w:rsid w:val="00C512EA"/>
    <w:rsid w:val="00C514DC"/>
    <w:rsid w:val="00C51966"/>
    <w:rsid w:val="00C5220B"/>
    <w:rsid w:val="00C52594"/>
    <w:rsid w:val="00C527E7"/>
    <w:rsid w:val="00C52ED1"/>
    <w:rsid w:val="00C530F2"/>
    <w:rsid w:val="00C53166"/>
    <w:rsid w:val="00C535DE"/>
    <w:rsid w:val="00C55866"/>
    <w:rsid w:val="00C55C0C"/>
    <w:rsid w:val="00C55E68"/>
    <w:rsid w:val="00C561F9"/>
    <w:rsid w:val="00C575BE"/>
    <w:rsid w:val="00C61023"/>
    <w:rsid w:val="00C615A8"/>
    <w:rsid w:val="00C61D1B"/>
    <w:rsid w:val="00C629E8"/>
    <w:rsid w:val="00C62F1D"/>
    <w:rsid w:val="00C642E5"/>
    <w:rsid w:val="00C6447F"/>
    <w:rsid w:val="00C6517E"/>
    <w:rsid w:val="00C65258"/>
    <w:rsid w:val="00C652C7"/>
    <w:rsid w:val="00C653A8"/>
    <w:rsid w:val="00C6638D"/>
    <w:rsid w:val="00C66E38"/>
    <w:rsid w:val="00C676A2"/>
    <w:rsid w:val="00C70C90"/>
    <w:rsid w:val="00C7251B"/>
    <w:rsid w:val="00C7291F"/>
    <w:rsid w:val="00C72D2E"/>
    <w:rsid w:val="00C73002"/>
    <w:rsid w:val="00C7414C"/>
    <w:rsid w:val="00C74470"/>
    <w:rsid w:val="00C748B7"/>
    <w:rsid w:val="00C74F98"/>
    <w:rsid w:val="00C76791"/>
    <w:rsid w:val="00C76E3A"/>
    <w:rsid w:val="00C7781B"/>
    <w:rsid w:val="00C77CC0"/>
    <w:rsid w:val="00C77FFA"/>
    <w:rsid w:val="00C800C2"/>
    <w:rsid w:val="00C80788"/>
    <w:rsid w:val="00C818A4"/>
    <w:rsid w:val="00C81972"/>
    <w:rsid w:val="00C81C26"/>
    <w:rsid w:val="00C81EA2"/>
    <w:rsid w:val="00C81F10"/>
    <w:rsid w:val="00C822E4"/>
    <w:rsid w:val="00C83131"/>
    <w:rsid w:val="00C842C2"/>
    <w:rsid w:val="00C842C7"/>
    <w:rsid w:val="00C845B0"/>
    <w:rsid w:val="00C84E4E"/>
    <w:rsid w:val="00C854D3"/>
    <w:rsid w:val="00C85956"/>
    <w:rsid w:val="00C86B8E"/>
    <w:rsid w:val="00C87AD7"/>
    <w:rsid w:val="00C90AF5"/>
    <w:rsid w:val="00C913F0"/>
    <w:rsid w:val="00C91477"/>
    <w:rsid w:val="00C917B3"/>
    <w:rsid w:val="00C918C1"/>
    <w:rsid w:val="00C91C4D"/>
    <w:rsid w:val="00C91C58"/>
    <w:rsid w:val="00C92DA5"/>
    <w:rsid w:val="00C93534"/>
    <w:rsid w:val="00C93B5F"/>
    <w:rsid w:val="00C94222"/>
    <w:rsid w:val="00C94E28"/>
    <w:rsid w:val="00C96210"/>
    <w:rsid w:val="00C96BF3"/>
    <w:rsid w:val="00C97091"/>
    <w:rsid w:val="00CA013E"/>
    <w:rsid w:val="00CA0E38"/>
    <w:rsid w:val="00CA0E3F"/>
    <w:rsid w:val="00CA18B9"/>
    <w:rsid w:val="00CA198C"/>
    <w:rsid w:val="00CA1D34"/>
    <w:rsid w:val="00CA1DB8"/>
    <w:rsid w:val="00CA1E30"/>
    <w:rsid w:val="00CA2C82"/>
    <w:rsid w:val="00CA32C0"/>
    <w:rsid w:val="00CA392C"/>
    <w:rsid w:val="00CA57AB"/>
    <w:rsid w:val="00CA5957"/>
    <w:rsid w:val="00CA5A4F"/>
    <w:rsid w:val="00CA5DD7"/>
    <w:rsid w:val="00CA5F8A"/>
    <w:rsid w:val="00CA6D50"/>
    <w:rsid w:val="00CA70B9"/>
    <w:rsid w:val="00CA7675"/>
    <w:rsid w:val="00CA77F6"/>
    <w:rsid w:val="00CA7B1A"/>
    <w:rsid w:val="00CB0A83"/>
    <w:rsid w:val="00CB1026"/>
    <w:rsid w:val="00CB1A73"/>
    <w:rsid w:val="00CB1BAF"/>
    <w:rsid w:val="00CB26A9"/>
    <w:rsid w:val="00CB2AC3"/>
    <w:rsid w:val="00CB340F"/>
    <w:rsid w:val="00CB3ED6"/>
    <w:rsid w:val="00CB44CB"/>
    <w:rsid w:val="00CB44EB"/>
    <w:rsid w:val="00CB5682"/>
    <w:rsid w:val="00CB68B4"/>
    <w:rsid w:val="00CB7142"/>
    <w:rsid w:val="00CB72CC"/>
    <w:rsid w:val="00CB7F2C"/>
    <w:rsid w:val="00CC0146"/>
    <w:rsid w:val="00CC0CA9"/>
    <w:rsid w:val="00CC2267"/>
    <w:rsid w:val="00CC2466"/>
    <w:rsid w:val="00CC297D"/>
    <w:rsid w:val="00CC29BE"/>
    <w:rsid w:val="00CC2B48"/>
    <w:rsid w:val="00CC2C35"/>
    <w:rsid w:val="00CC2D4C"/>
    <w:rsid w:val="00CC3071"/>
    <w:rsid w:val="00CC3139"/>
    <w:rsid w:val="00CC31EA"/>
    <w:rsid w:val="00CC3B21"/>
    <w:rsid w:val="00CC404C"/>
    <w:rsid w:val="00CC4144"/>
    <w:rsid w:val="00CC44AF"/>
    <w:rsid w:val="00CC5342"/>
    <w:rsid w:val="00CC53A9"/>
    <w:rsid w:val="00CC6ECE"/>
    <w:rsid w:val="00CC78E5"/>
    <w:rsid w:val="00CC7A23"/>
    <w:rsid w:val="00CC7E42"/>
    <w:rsid w:val="00CD08CC"/>
    <w:rsid w:val="00CD12B4"/>
    <w:rsid w:val="00CD3217"/>
    <w:rsid w:val="00CD347D"/>
    <w:rsid w:val="00CD4977"/>
    <w:rsid w:val="00CD6214"/>
    <w:rsid w:val="00CD64AA"/>
    <w:rsid w:val="00CD6EAB"/>
    <w:rsid w:val="00CD6FE7"/>
    <w:rsid w:val="00CD75CE"/>
    <w:rsid w:val="00CD7693"/>
    <w:rsid w:val="00CE0F1F"/>
    <w:rsid w:val="00CE0F9A"/>
    <w:rsid w:val="00CE145F"/>
    <w:rsid w:val="00CE2908"/>
    <w:rsid w:val="00CE2B59"/>
    <w:rsid w:val="00CE2D34"/>
    <w:rsid w:val="00CE3CAE"/>
    <w:rsid w:val="00CE3F2C"/>
    <w:rsid w:val="00CE402F"/>
    <w:rsid w:val="00CE4245"/>
    <w:rsid w:val="00CE453A"/>
    <w:rsid w:val="00CE51F4"/>
    <w:rsid w:val="00CE583A"/>
    <w:rsid w:val="00CE5C9C"/>
    <w:rsid w:val="00CE5FD1"/>
    <w:rsid w:val="00CE616C"/>
    <w:rsid w:val="00CE65C7"/>
    <w:rsid w:val="00CF06FA"/>
    <w:rsid w:val="00CF10F8"/>
    <w:rsid w:val="00CF1354"/>
    <w:rsid w:val="00CF13B5"/>
    <w:rsid w:val="00CF1745"/>
    <w:rsid w:val="00CF1EE6"/>
    <w:rsid w:val="00CF20A9"/>
    <w:rsid w:val="00CF2B9B"/>
    <w:rsid w:val="00CF3836"/>
    <w:rsid w:val="00CF3ECF"/>
    <w:rsid w:val="00CF509B"/>
    <w:rsid w:val="00CF536A"/>
    <w:rsid w:val="00CF5BCA"/>
    <w:rsid w:val="00CF6D1D"/>
    <w:rsid w:val="00CF77D4"/>
    <w:rsid w:val="00D008B4"/>
    <w:rsid w:val="00D016B7"/>
    <w:rsid w:val="00D0183B"/>
    <w:rsid w:val="00D02668"/>
    <w:rsid w:val="00D02B0D"/>
    <w:rsid w:val="00D042DC"/>
    <w:rsid w:val="00D0465E"/>
    <w:rsid w:val="00D048DA"/>
    <w:rsid w:val="00D04B9A"/>
    <w:rsid w:val="00D052BF"/>
    <w:rsid w:val="00D05471"/>
    <w:rsid w:val="00D05582"/>
    <w:rsid w:val="00D05A43"/>
    <w:rsid w:val="00D07890"/>
    <w:rsid w:val="00D07A2D"/>
    <w:rsid w:val="00D10196"/>
    <w:rsid w:val="00D102CB"/>
    <w:rsid w:val="00D11638"/>
    <w:rsid w:val="00D116B8"/>
    <w:rsid w:val="00D119B6"/>
    <w:rsid w:val="00D13353"/>
    <w:rsid w:val="00D138A0"/>
    <w:rsid w:val="00D14137"/>
    <w:rsid w:val="00D14350"/>
    <w:rsid w:val="00D1441F"/>
    <w:rsid w:val="00D14ABF"/>
    <w:rsid w:val="00D15A67"/>
    <w:rsid w:val="00D1642E"/>
    <w:rsid w:val="00D1699A"/>
    <w:rsid w:val="00D17CBC"/>
    <w:rsid w:val="00D20008"/>
    <w:rsid w:val="00D20307"/>
    <w:rsid w:val="00D20678"/>
    <w:rsid w:val="00D2099F"/>
    <w:rsid w:val="00D20F08"/>
    <w:rsid w:val="00D20FCD"/>
    <w:rsid w:val="00D21B1D"/>
    <w:rsid w:val="00D21D6C"/>
    <w:rsid w:val="00D21E37"/>
    <w:rsid w:val="00D225FB"/>
    <w:rsid w:val="00D23085"/>
    <w:rsid w:val="00D2405A"/>
    <w:rsid w:val="00D24A48"/>
    <w:rsid w:val="00D2535F"/>
    <w:rsid w:val="00D25B09"/>
    <w:rsid w:val="00D26346"/>
    <w:rsid w:val="00D266D8"/>
    <w:rsid w:val="00D26C5B"/>
    <w:rsid w:val="00D275FC"/>
    <w:rsid w:val="00D27807"/>
    <w:rsid w:val="00D27A95"/>
    <w:rsid w:val="00D27BC1"/>
    <w:rsid w:val="00D301C7"/>
    <w:rsid w:val="00D3031A"/>
    <w:rsid w:val="00D3053F"/>
    <w:rsid w:val="00D31820"/>
    <w:rsid w:val="00D31E7B"/>
    <w:rsid w:val="00D31EE7"/>
    <w:rsid w:val="00D3213A"/>
    <w:rsid w:val="00D32530"/>
    <w:rsid w:val="00D32E31"/>
    <w:rsid w:val="00D33E35"/>
    <w:rsid w:val="00D3558A"/>
    <w:rsid w:val="00D35AAA"/>
    <w:rsid w:val="00D35F26"/>
    <w:rsid w:val="00D360DD"/>
    <w:rsid w:val="00D36258"/>
    <w:rsid w:val="00D36A8B"/>
    <w:rsid w:val="00D4123C"/>
    <w:rsid w:val="00D41673"/>
    <w:rsid w:val="00D42A41"/>
    <w:rsid w:val="00D42E35"/>
    <w:rsid w:val="00D42E4D"/>
    <w:rsid w:val="00D436B8"/>
    <w:rsid w:val="00D4430E"/>
    <w:rsid w:val="00D448B3"/>
    <w:rsid w:val="00D44C91"/>
    <w:rsid w:val="00D44CAA"/>
    <w:rsid w:val="00D45612"/>
    <w:rsid w:val="00D4710C"/>
    <w:rsid w:val="00D47B98"/>
    <w:rsid w:val="00D5070B"/>
    <w:rsid w:val="00D50C52"/>
    <w:rsid w:val="00D50C61"/>
    <w:rsid w:val="00D50DF7"/>
    <w:rsid w:val="00D50F94"/>
    <w:rsid w:val="00D51D02"/>
    <w:rsid w:val="00D52328"/>
    <w:rsid w:val="00D52445"/>
    <w:rsid w:val="00D52EEF"/>
    <w:rsid w:val="00D52F51"/>
    <w:rsid w:val="00D530A0"/>
    <w:rsid w:val="00D53532"/>
    <w:rsid w:val="00D53A23"/>
    <w:rsid w:val="00D53AA7"/>
    <w:rsid w:val="00D54623"/>
    <w:rsid w:val="00D54D6D"/>
    <w:rsid w:val="00D56F53"/>
    <w:rsid w:val="00D574BE"/>
    <w:rsid w:val="00D60366"/>
    <w:rsid w:val="00D60DB8"/>
    <w:rsid w:val="00D60E2C"/>
    <w:rsid w:val="00D61872"/>
    <w:rsid w:val="00D61E5F"/>
    <w:rsid w:val="00D62054"/>
    <w:rsid w:val="00D6287F"/>
    <w:rsid w:val="00D62C0A"/>
    <w:rsid w:val="00D62EC2"/>
    <w:rsid w:val="00D62F1A"/>
    <w:rsid w:val="00D62FC0"/>
    <w:rsid w:val="00D63706"/>
    <w:rsid w:val="00D642DA"/>
    <w:rsid w:val="00D647DF"/>
    <w:rsid w:val="00D65A52"/>
    <w:rsid w:val="00D660E1"/>
    <w:rsid w:val="00D66D90"/>
    <w:rsid w:val="00D70049"/>
    <w:rsid w:val="00D7022C"/>
    <w:rsid w:val="00D73342"/>
    <w:rsid w:val="00D73477"/>
    <w:rsid w:val="00D74D37"/>
    <w:rsid w:val="00D75D92"/>
    <w:rsid w:val="00D76E28"/>
    <w:rsid w:val="00D775A4"/>
    <w:rsid w:val="00D778F9"/>
    <w:rsid w:val="00D800E9"/>
    <w:rsid w:val="00D803A9"/>
    <w:rsid w:val="00D806C8"/>
    <w:rsid w:val="00D806E0"/>
    <w:rsid w:val="00D80A68"/>
    <w:rsid w:val="00D81C5B"/>
    <w:rsid w:val="00D81DA6"/>
    <w:rsid w:val="00D82547"/>
    <w:rsid w:val="00D82C21"/>
    <w:rsid w:val="00D83485"/>
    <w:rsid w:val="00D84440"/>
    <w:rsid w:val="00D8531B"/>
    <w:rsid w:val="00D85C0A"/>
    <w:rsid w:val="00D85DE7"/>
    <w:rsid w:val="00D85FD4"/>
    <w:rsid w:val="00D863B8"/>
    <w:rsid w:val="00D86B82"/>
    <w:rsid w:val="00D86D4B"/>
    <w:rsid w:val="00D874BB"/>
    <w:rsid w:val="00D87795"/>
    <w:rsid w:val="00D87C24"/>
    <w:rsid w:val="00D905D8"/>
    <w:rsid w:val="00D90894"/>
    <w:rsid w:val="00D90A65"/>
    <w:rsid w:val="00D91963"/>
    <w:rsid w:val="00D9272E"/>
    <w:rsid w:val="00D93CD0"/>
    <w:rsid w:val="00D94EB6"/>
    <w:rsid w:val="00D969B1"/>
    <w:rsid w:val="00D96C10"/>
    <w:rsid w:val="00D976D2"/>
    <w:rsid w:val="00DA002E"/>
    <w:rsid w:val="00DA0486"/>
    <w:rsid w:val="00DA0BE5"/>
    <w:rsid w:val="00DA1774"/>
    <w:rsid w:val="00DA2158"/>
    <w:rsid w:val="00DA23B0"/>
    <w:rsid w:val="00DA23B8"/>
    <w:rsid w:val="00DA276C"/>
    <w:rsid w:val="00DA2EB1"/>
    <w:rsid w:val="00DA39AB"/>
    <w:rsid w:val="00DA67FC"/>
    <w:rsid w:val="00DB02CD"/>
    <w:rsid w:val="00DB0793"/>
    <w:rsid w:val="00DB1163"/>
    <w:rsid w:val="00DB118B"/>
    <w:rsid w:val="00DB12C8"/>
    <w:rsid w:val="00DB156B"/>
    <w:rsid w:val="00DB2706"/>
    <w:rsid w:val="00DB3770"/>
    <w:rsid w:val="00DB44FC"/>
    <w:rsid w:val="00DB552A"/>
    <w:rsid w:val="00DB62B5"/>
    <w:rsid w:val="00DB71E7"/>
    <w:rsid w:val="00DB74F9"/>
    <w:rsid w:val="00DB76F1"/>
    <w:rsid w:val="00DB7770"/>
    <w:rsid w:val="00DB7D3E"/>
    <w:rsid w:val="00DC13C0"/>
    <w:rsid w:val="00DC15C1"/>
    <w:rsid w:val="00DC2993"/>
    <w:rsid w:val="00DC3493"/>
    <w:rsid w:val="00DC3660"/>
    <w:rsid w:val="00DC3C13"/>
    <w:rsid w:val="00DC49DC"/>
    <w:rsid w:val="00DC50DD"/>
    <w:rsid w:val="00DC5A5B"/>
    <w:rsid w:val="00DC5A7D"/>
    <w:rsid w:val="00DC68C1"/>
    <w:rsid w:val="00DC6BE7"/>
    <w:rsid w:val="00DD1570"/>
    <w:rsid w:val="00DD18CC"/>
    <w:rsid w:val="00DD231E"/>
    <w:rsid w:val="00DD2941"/>
    <w:rsid w:val="00DD2B65"/>
    <w:rsid w:val="00DD33F6"/>
    <w:rsid w:val="00DD398F"/>
    <w:rsid w:val="00DD4898"/>
    <w:rsid w:val="00DD4D01"/>
    <w:rsid w:val="00DD4D3D"/>
    <w:rsid w:val="00DD5F09"/>
    <w:rsid w:val="00DD6063"/>
    <w:rsid w:val="00DD63C3"/>
    <w:rsid w:val="00DD6437"/>
    <w:rsid w:val="00DD6BA7"/>
    <w:rsid w:val="00DD71F9"/>
    <w:rsid w:val="00DD7526"/>
    <w:rsid w:val="00DD7835"/>
    <w:rsid w:val="00DD786A"/>
    <w:rsid w:val="00DD79C4"/>
    <w:rsid w:val="00DD7B73"/>
    <w:rsid w:val="00DE0567"/>
    <w:rsid w:val="00DE0A14"/>
    <w:rsid w:val="00DE1D31"/>
    <w:rsid w:val="00DE2195"/>
    <w:rsid w:val="00DE2F55"/>
    <w:rsid w:val="00DE2F98"/>
    <w:rsid w:val="00DE35E0"/>
    <w:rsid w:val="00DE4082"/>
    <w:rsid w:val="00DE40D7"/>
    <w:rsid w:val="00DE4A5E"/>
    <w:rsid w:val="00DE6468"/>
    <w:rsid w:val="00DE75BC"/>
    <w:rsid w:val="00DE75EB"/>
    <w:rsid w:val="00DE7AFC"/>
    <w:rsid w:val="00DF06FE"/>
    <w:rsid w:val="00DF1B78"/>
    <w:rsid w:val="00DF2AB4"/>
    <w:rsid w:val="00DF2F74"/>
    <w:rsid w:val="00DF479E"/>
    <w:rsid w:val="00DF4A8D"/>
    <w:rsid w:val="00DF4AC8"/>
    <w:rsid w:val="00DF5CBC"/>
    <w:rsid w:val="00DF65C2"/>
    <w:rsid w:val="00DF7238"/>
    <w:rsid w:val="00DF76FD"/>
    <w:rsid w:val="00E011F7"/>
    <w:rsid w:val="00E01B65"/>
    <w:rsid w:val="00E024B0"/>
    <w:rsid w:val="00E024BA"/>
    <w:rsid w:val="00E0329F"/>
    <w:rsid w:val="00E039A2"/>
    <w:rsid w:val="00E03D9F"/>
    <w:rsid w:val="00E043B6"/>
    <w:rsid w:val="00E0475C"/>
    <w:rsid w:val="00E0490F"/>
    <w:rsid w:val="00E04BFE"/>
    <w:rsid w:val="00E0504C"/>
    <w:rsid w:val="00E05A45"/>
    <w:rsid w:val="00E05D0A"/>
    <w:rsid w:val="00E05E75"/>
    <w:rsid w:val="00E05F22"/>
    <w:rsid w:val="00E066E9"/>
    <w:rsid w:val="00E06D8F"/>
    <w:rsid w:val="00E07349"/>
    <w:rsid w:val="00E07B99"/>
    <w:rsid w:val="00E10FCA"/>
    <w:rsid w:val="00E111C5"/>
    <w:rsid w:val="00E118E9"/>
    <w:rsid w:val="00E12382"/>
    <w:rsid w:val="00E127CD"/>
    <w:rsid w:val="00E12948"/>
    <w:rsid w:val="00E12B82"/>
    <w:rsid w:val="00E12C8B"/>
    <w:rsid w:val="00E131A3"/>
    <w:rsid w:val="00E15AD7"/>
    <w:rsid w:val="00E16563"/>
    <w:rsid w:val="00E1681C"/>
    <w:rsid w:val="00E16A14"/>
    <w:rsid w:val="00E16ACE"/>
    <w:rsid w:val="00E20F14"/>
    <w:rsid w:val="00E21523"/>
    <w:rsid w:val="00E21E0E"/>
    <w:rsid w:val="00E23C5A"/>
    <w:rsid w:val="00E24B2A"/>
    <w:rsid w:val="00E2515F"/>
    <w:rsid w:val="00E25CC5"/>
    <w:rsid w:val="00E26A2F"/>
    <w:rsid w:val="00E27019"/>
    <w:rsid w:val="00E277B1"/>
    <w:rsid w:val="00E27C72"/>
    <w:rsid w:val="00E27E48"/>
    <w:rsid w:val="00E301E2"/>
    <w:rsid w:val="00E30715"/>
    <w:rsid w:val="00E30E96"/>
    <w:rsid w:val="00E315C8"/>
    <w:rsid w:val="00E31610"/>
    <w:rsid w:val="00E3361A"/>
    <w:rsid w:val="00E33E79"/>
    <w:rsid w:val="00E35E8D"/>
    <w:rsid w:val="00E3601C"/>
    <w:rsid w:val="00E364FE"/>
    <w:rsid w:val="00E365DF"/>
    <w:rsid w:val="00E371CC"/>
    <w:rsid w:val="00E376B4"/>
    <w:rsid w:val="00E406A0"/>
    <w:rsid w:val="00E41B6A"/>
    <w:rsid w:val="00E41FCE"/>
    <w:rsid w:val="00E4392D"/>
    <w:rsid w:val="00E44D71"/>
    <w:rsid w:val="00E459FD"/>
    <w:rsid w:val="00E4670A"/>
    <w:rsid w:val="00E46AC9"/>
    <w:rsid w:val="00E46ADB"/>
    <w:rsid w:val="00E46D21"/>
    <w:rsid w:val="00E475D9"/>
    <w:rsid w:val="00E478EF"/>
    <w:rsid w:val="00E50760"/>
    <w:rsid w:val="00E50B3A"/>
    <w:rsid w:val="00E5105D"/>
    <w:rsid w:val="00E5150E"/>
    <w:rsid w:val="00E53337"/>
    <w:rsid w:val="00E533A2"/>
    <w:rsid w:val="00E550A5"/>
    <w:rsid w:val="00E559B5"/>
    <w:rsid w:val="00E559BE"/>
    <w:rsid w:val="00E571F6"/>
    <w:rsid w:val="00E57DBA"/>
    <w:rsid w:val="00E60611"/>
    <w:rsid w:val="00E60F2B"/>
    <w:rsid w:val="00E62964"/>
    <w:rsid w:val="00E6335E"/>
    <w:rsid w:val="00E6482A"/>
    <w:rsid w:val="00E65A89"/>
    <w:rsid w:val="00E66DAE"/>
    <w:rsid w:val="00E6704A"/>
    <w:rsid w:val="00E6727F"/>
    <w:rsid w:val="00E674A2"/>
    <w:rsid w:val="00E67E92"/>
    <w:rsid w:val="00E702F3"/>
    <w:rsid w:val="00E71123"/>
    <w:rsid w:val="00E7126F"/>
    <w:rsid w:val="00E71AA6"/>
    <w:rsid w:val="00E729EA"/>
    <w:rsid w:val="00E72E73"/>
    <w:rsid w:val="00E72EDE"/>
    <w:rsid w:val="00E73377"/>
    <w:rsid w:val="00E7405F"/>
    <w:rsid w:val="00E74F8F"/>
    <w:rsid w:val="00E759D1"/>
    <w:rsid w:val="00E76A60"/>
    <w:rsid w:val="00E76D75"/>
    <w:rsid w:val="00E76E93"/>
    <w:rsid w:val="00E76EC7"/>
    <w:rsid w:val="00E77550"/>
    <w:rsid w:val="00E7780B"/>
    <w:rsid w:val="00E778A9"/>
    <w:rsid w:val="00E80051"/>
    <w:rsid w:val="00E80A94"/>
    <w:rsid w:val="00E81285"/>
    <w:rsid w:val="00E81299"/>
    <w:rsid w:val="00E822F2"/>
    <w:rsid w:val="00E8490C"/>
    <w:rsid w:val="00E84CA2"/>
    <w:rsid w:val="00E86201"/>
    <w:rsid w:val="00E86BAA"/>
    <w:rsid w:val="00E86C0F"/>
    <w:rsid w:val="00E872FC"/>
    <w:rsid w:val="00E87371"/>
    <w:rsid w:val="00E8743C"/>
    <w:rsid w:val="00E90C94"/>
    <w:rsid w:val="00E92A1E"/>
    <w:rsid w:val="00E93BF7"/>
    <w:rsid w:val="00E944A9"/>
    <w:rsid w:val="00E94676"/>
    <w:rsid w:val="00E94798"/>
    <w:rsid w:val="00E95F3A"/>
    <w:rsid w:val="00E96AA7"/>
    <w:rsid w:val="00EA0DDB"/>
    <w:rsid w:val="00EA1F85"/>
    <w:rsid w:val="00EA3B8F"/>
    <w:rsid w:val="00EA4056"/>
    <w:rsid w:val="00EA447A"/>
    <w:rsid w:val="00EA468A"/>
    <w:rsid w:val="00EA5401"/>
    <w:rsid w:val="00EA6437"/>
    <w:rsid w:val="00EA6D65"/>
    <w:rsid w:val="00EA7B08"/>
    <w:rsid w:val="00EB087D"/>
    <w:rsid w:val="00EB0DFC"/>
    <w:rsid w:val="00EB1B9B"/>
    <w:rsid w:val="00EB2EAD"/>
    <w:rsid w:val="00EB33AA"/>
    <w:rsid w:val="00EB3611"/>
    <w:rsid w:val="00EB3678"/>
    <w:rsid w:val="00EB3805"/>
    <w:rsid w:val="00EB3FAA"/>
    <w:rsid w:val="00EB41D2"/>
    <w:rsid w:val="00EB477D"/>
    <w:rsid w:val="00EB541C"/>
    <w:rsid w:val="00EB566A"/>
    <w:rsid w:val="00EB5938"/>
    <w:rsid w:val="00EB6EA8"/>
    <w:rsid w:val="00EB76A8"/>
    <w:rsid w:val="00EB77DC"/>
    <w:rsid w:val="00EC02AE"/>
    <w:rsid w:val="00EC09DD"/>
    <w:rsid w:val="00EC0C1A"/>
    <w:rsid w:val="00EC0C3F"/>
    <w:rsid w:val="00EC0E2E"/>
    <w:rsid w:val="00EC114A"/>
    <w:rsid w:val="00EC1558"/>
    <w:rsid w:val="00EC2718"/>
    <w:rsid w:val="00EC2793"/>
    <w:rsid w:val="00EC3158"/>
    <w:rsid w:val="00EC36C5"/>
    <w:rsid w:val="00EC386C"/>
    <w:rsid w:val="00EC392D"/>
    <w:rsid w:val="00EC4966"/>
    <w:rsid w:val="00EC4D4B"/>
    <w:rsid w:val="00EC503C"/>
    <w:rsid w:val="00EC52BA"/>
    <w:rsid w:val="00EC5E2C"/>
    <w:rsid w:val="00EC6389"/>
    <w:rsid w:val="00EC653D"/>
    <w:rsid w:val="00EC69CF"/>
    <w:rsid w:val="00EC6CE6"/>
    <w:rsid w:val="00EC7071"/>
    <w:rsid w:val="00EC720E"/>
    <w:rsid w:val="00EC7BF7"/>
    <w:rsid w:val="00ED0575"/>
    <w:rsid w:val="00ED0926"/>
    <w:rsid w:val="00ED09F0"/>
    <w:rsid w:val="00ED0BD7"/>
    <w:rsid w:val="00ED0D33"/>
    <w:rsid w:val="00ED1BE6"/>
    <w:rsid w:val="00ED1D10"/>
    <w:rsid w:val="00ED35DB"/>
    <w:rsid w:val="00ED4314"/>
    <w:rsid w:val="00ED49B5"/>
    <w:rsid w:val="00ED52C0"/>
    <w:rsid w:val="00ED53B4"/>
    <w:rsid w:val="00ED5CFE"/>
    <w:rsid w:val="00ED6011"/>
    <w:rsid w:val="00ED635A"/>
    <w:rsid w:val="00ED6440"/>
    <w:rsid w:val="00ED65BF"/>
    <w:rsid w:val="00ED6AA6"/>
    <w:rsid w:val="00ED6E5E"/>
    <w:rsid w:val="00ED6EA3"/>
    <w:rsid w:val="00EE12BC"/>
    <w:rsid w:val="00EE1747"/>
    <w:rsid w:val="00EE1F5F"/>
    <w:rsid w:val="00EE2107"/>
    <w:rsid w:val="00EE3338"/>
    <w:rsid w:val="00EE3503"/>
    <w:rsid w:val="00EE380F"/>
    <w:rsid w:val="00EE4D07"/>
    <w:rsid w:val="00EE4EBD"/>
    <w:rsid w:val="00EE64FD"/>
    <w:rsid w:val="00EE6753"/>
    <w:rsid w:val="00EE6779"/>
    <w:rsid w:val="00EE6B80"/>
    <w:rsid w:val="00EE7124"/>
    <w:rsid w:val="00EE73E9"/>
    <w:rsid w:val="00EF0392"/>
    <w:rsid w:val="00EF082E"/>
    <w:rsid w:val="00EF0F0B"/>
    <w:rsid w:val="00EF1363"/>
    <w:rsid w:val="00EF1DBF"/>
    <w:rsid w:val="00EF1FA5"/>
    <w:rsid w:val="00EF5515"/>
    <w:rsid w:val="00EF5642"/>
    <w:rsid w:val="00EF60FE"/>
    <w:rsid w:val="00EF740C"/>
    <w:rsid w:val="00EF781A"/>
    <w:rsid w:val="00F00AFA"/>
    <w:rsid w:val="00F00B3C"/>
    <w:rsid w:val="00F00CDB"/>
    <w:rsid w:val="00F0182F"/>
    <w:rsid w:val="00F02509"/>
    <w:rsid w:val="00F02C96"/>
    <w:rsid w:val="00F030F7"/>
    <w:rsid w:val="00F04164"/>
    <w:rsid w:val="00F05241"/>
    <w:rsid w:val="00F05C1C"/>
    <w:rsid w:val="00F06437"/>
    <w:rsid w:val="00F07ADF"/>
    <w:rsid w:val="00F100A0"/>
    <w:rsid w:val="00F11639"/>
    <w:rsid w:val="00F11BAC"/>
    <w:rsid w:val="00F11BDF"/>
    <w:rsid w:val="00F1228F"/>
    <w:rsid w:val="00F123F3"/>
    <w:rsid w:val="00F12D75"/>
    <w:rsid w:val="00F13C81"/>
    <w:rsid w:val="00F1431A"/>
    <w:rsid w:val="00F15309"/>
    <w:rsid w:val="00F16671"/>
    <w:rsid w:val="00F17464"/>
    <w:rsid w:val="00F17A95"/>
    <w:rsid w:val="00F20243"/>
    <w:rsid w:val="00F2065E"/>
    <w:rsid w:val="00F216B0"/>
    <w:rsid w:val="00F2291D"/>
    <w:rsid w:val="00F234FF"/>
    <w:rsid w:val="00F23626"/>
    <w:rsid w:val="00F2398A"/>
    <w:rsid w:val="00F23E2C"/>
    <w:rsid w:val="00F245A6"/>
    <w:rsid w:val="00F24780"/>
    <w:rsid w:val="00F25592"/>
    <w:rsid w:val="00F25647"/>
    <w:rsid w:val="00F273D2"/>
    <w:rsid w:val="00F27530"/>
    <w:rsid w:val="00F3150B"/>
    <w:rsid w:val="00F31685"/>
    <w:rsid w:val="00F31687"/>
    <w:rsid w:val="00F318A4"/>
    <w:rsid w:val="00F31978"/>
    <w:rsid w:val="00F32101"/>
    <w:rsid w:val="00F32485"/>
    <w:rsid w:val="00F32F28"/>
    <w:rsid w:val="00F33292"/>
    <w:rsid w:val="00F33305"/>
    <w:rsid w:val="00F33C41"/>
    <w:rsid w:val="00F340BE"/>
    <w:rsid w:val="00F347BE"/>
    <w:rsid w:val="00F34EDC"/>
    <w:rsid w:val="00F34FDF"/>
    <w:rsid w:val="00F35570"/>
    <w:rsid w:val="00F35ABE"/>
    <w:rsid w:val="00F35FED"/>
    <w:rsid w:val="00F36C3F"/>
    <w:rsid w:val="00F40650"/>
    <w:rsid w:val="00F4182B"/>
    <w:rsid w:val="00F423B1"/>
    <w:rsid w:val="00F43162"/>
    <w:rsid w:val="00F4457C"/>
    <w:rsid w:val="00F44AB2"/>
    <w:rsid w:val="00F44AEA"/>
    <w:rsid w:val="00F45052"/>
    <w:rsid w:val="00F456C1"/>
    <w:rsid w:val="00F45F82"/>
    <w:rsid w:val="00F46E0D"/>
    <w:rsid w:val="00F47336"/>
    <w:rsid w:val="00F50A5B"/>
    <w:rsid w:val="00F511C6"/>
    <w:rsid w:val="00F5188C"/>
    <w:rsid w:val="00F518B0"/>
    <w:rsid w:val="00F51996"/>
    <w:rsid w:val="00F51A0A"/>
    <w:rsid w:val="00F51AC5"/>
    <w:rsid w:val="00F52F35"/>
    <w:rsid w:val="00F54AE9"/>
    <w:rsid w:val="00F558ED"/>
    <w:rsid w:val="00F55CFB"/>
    <w:rsid w:val="00F55E59"/>
    <w:rsid w:val="00F56AED"/>
    <w:rsid w:val="00F57222"/>
    <w:rsid w:val="00F573F8"/>
    <w:rsid w:val="00F57B7F"/>
    <w:rsid w:val="00F57E32"/>
    <w:rsid w:val="00F57F84"/>
    <w:rsid w:val="00F6010F"/>
    <w:rsid w:val="00F601AA"/>
    <w:rsid w:val="00F603A8"/>
    <w:rsid w:val="00F616B1"/>
    <w:rsid w:val="00F61EB8"/>
    <w:rsid w:val="00F62748"/>
    <w:rsid w:val="00F62B44"/>
    <w:rsid w:val="00F62DAB"/>
    <w:rsid w:val="00F63144"/>
    <w:rsid w:val="00F64B6C"/>
    <w:rsid w:val="00F64CDF"/>
    <w:rsid w:val="00F66509"/>
    <w:rsid w:val="00F6784A"/>
    <w:rsid w:val="00F6799D"/>
    <w:rsid w:val="00F67B78"/>
    <w:rsid w:val="00F67D75"/>
    <w:rsid w:val="00F67F33"/>
    <w:rsid w:val="00F70D2B"/>
    <w:rsid w:val="00F713D6"/>
    <w:rsid w:val="00F7179F"/>
    <w:rsid w:val="00F718C5"/>
    <w:rsid w:val="00F71F04"/>
    <w:rsid w:val="00F72245"/>
    <w:rsid w:val="00F7257F"/>
    <w:rsid w:val="00F726AD"/>
    <w:rsid w:val="00F7287A"/>
    <w:rsid w:val="00F72AD9"/>
    <w:rsid w:val="00F731E8"/>
    <w:rsid w:val="00F73724"/>
    <w:rsid w:val="00F73776"/>
    <w:rsid w:val="00F73A50"/>
    <w:rsid w:val="00F73A94"/>
    <w:rsid w:val="00F740E1"/>
    <w:rsid w:val="00F740E6"/>
    <w:rsid w:val="00F74172"/>
    <w:rsid w:val="00F74825"/>
    <w:rsid w:val="00F74A67"/>
    <w:rsid w:val="00F7550E"/>
    <w:rsid w:val="00F75CA3"/>
    <w:rsid w:val="00F75EA0"/>
    <w:rsid w:val="00F76519"/>
    <w:rsid w:val="00F7670B"/>
    <w:rsid w:val="00F76A55"/>
    <w:rsid w:val="00F76BD0"/>
    <w:rsid w:val="00F76F30"/>
    <w:rsid w:val="00F778CE"/>
    <w:rsid w:val="00F80BD4"/>
    <w:rsid w:val="00F80C82"/>
    <w:rsid w:val="00F81499"/>
    <w:rsid w:val="00F81CE3"/>
    <w:rsid w:val="00F82B4E"/>
    <w:rsid w:val="00F831B9"/>
    <w:rsid w:val="00F83528"/>
    <w:rsid w:val="00F83CDE"/>
    <w:rsid w:val="00F83E87"/>
    <w:rsid w:val="00F84DA3"/>
    <w:rsid w:val="00F85193"/>
    <w:rsid w:val="00F85248"/>
    <w:rsid w:val="00F87C37"/>
    <w:rsid w:val="00F87CCA"/>
    <w:rsid w:val="00F914AC"/>
    <w:rsid w:val="00F91D48"/>
    <w:rsid w:val="00F91F58"/>
    <w:rsid w:val="00F937A2"/>
    <w:rsid w:val="00F940FE"/>
    <w:rsid w:val="00F94686"/>
    <w:rsid w:val="00F94772"/>
    <w:rsid w:val="00F94DC9"/>
    <w:rsid w:val="00F95166"/>
    <w:rsid w:val="00F95658"/>
    <w:rsid w:val="00F95AF0"/>
    <w:rsid w:val="00F95CE5"/>
    <w:rsid w:val="00F961B8"/>
    <w:rsid w:val="00F96267"/>
    <w:rsid w:val="00F969A0"/>
    <w:rsid w:val="00F96D18"/>
    <w:rsid w:val="00F97159"/>
    <w:rsid w:val="00F97B79"/>
    <w:rsid w:val="00FA0172"/>
    <w:rsid w:val="00FA0727"/>
    <w:rsid w:val="00FA0A81"/>
    <w:rsid w:val="00FA1543"/>
    <w:rsid w:val="00FA16BD"/>
    <w:rsid w:val="00FA1F24"/>
    <w:rsid w:val="00FA21C8"/>
    <w:rsid w:val="00FA2EAA"/>
    <w:rsid w:val="00FA45C5"/>
    <w:rsid w:val="00FA48A5"/>
    <w:rsid w:val="00FA55B2"/>
    <w:rsid w:val="00FA5A50"/>
    <w:rsid w:val="00FA6172"/>
    <w:rsid w:val="00FA66F6"/>
    <w:rsid w:val="00FA66FD"/>
    <w:rsid w:val="00FA6735"/>
    <w:rsid w:val="00FA6832"/>
    <w:rsid w:val="00FA71F5"/>
    <w:rsid w:val="00FA75C8"/>
    <w:rsid w:val="00FA783C"/>
    <w:rsid w:val="00FA7861"/>
    <w:rsid w:val="00FB09CC"/>
    <w:rsid w:val="00FB0D99"/>
    <w:rsid w:val="00FB0F00"/>
    <w:rsid w:val="00FB122F"/>
    <w:rsid w:val="00FB1865"/>
    <w:rsid w:val="00FB1D23"/>
    <w:rsid w:val="00FB24D9"/>
    <w:rsid w:val="00FB3FCA"/>
    <w:rsid w:val="00FB4107"/>
    <w:rsid w:val="00FB41FC"/>
    <w:rsid w:val="00FB449D"/>
    <w:rsid w:val="00FB4C0E"/>
    <w:rsid w:val="00FB57E8"/>
    <w:rsid w:val="00FB6283"/>
    <w:rsid w:val="00FB6A69"/>
    <w:rsid w:val="00FB72A6"/>
    <w:rsid w:val="00FB74E5"/>
    <w:rsid w:val="00FC14B5"/>
    <w:rsid w:val="00FC192A"/>
    <w:rsid w:val="00FC1F34"/>
    <w:rsid w:val="00FC25A1"/>
    <w:rsid w:val="00FC2DC6"/>
    <w:rsid w:val="00FC2F60"/>
    <w:rsid w:val="00FC3366"/>
    <w:rsid w:val="00FC3B9F"/>
    <w:rsid w:val="00FC3C07"/>
    <w:rsid w:val="00FC3C41"/>
    <w:rsid w:val="00FC5A8C"/>
    <w:rsid w:val="00FC62D8"/>
    <w:rsid w:val="00FC66B9"/>
    <w:rsid w:val="00FC73B6"/>
    <w:rsid w:val="00FC766C"/>
    <w:rsid w:val="00FC7C11"/>
    <w:rsid w:val="00FC7CAF"/>
    <w:rsid w:val="00FD01C5"/>
    <w:rsid w:val="00FD175A"/>
    <w:rsid w:val="00FD23FC"/>
    <w:rsid w:val="00FD28D8"/>
    <w:rsid w:val="00FD3214"/>
    <w:rsid w:val="00FD3510"/>
    <w:rsid w:val="00FD3594"/>
    <w:rsid w:val="00FD36A7"/>
    <w:rsid w:val="00FD4174"/>
    <w:rsid w:val="00FD4522"/>
    <w:rsid w:val="00FD47CA"/>
    <w:rsid w:val="00FD4909"/>
    <w:rsid w:val="00FD4ACE"/>
    <w:rsid w:val="00FD53C5"/>
    <w:rsid w:val="00FD53E2"/>
    <w:rsid w:val="00FD568F"/>
    <w:rsid w:val="00FD57F4"/>
    <w:rsid w:val="00FD62C6"/>
    <w:rsid w:val="00FD7B89"/>
    <w:rsid w:val="00FD7D6D"/>
    <w:rsid w:val="00FE01ED"/>
    <w:rsid w:val="00FE0265"/>
    <w:rsid w:val="00FE081B"/>
    <w:rsid w:val="00FE087C"/>
    <w:rsid w:val="00FE18BD"/>
    <w:rsid w:val="00FE1DDC"/>
    <w:rsid w:val="00FE2360"/>
    <w:rsid w:val="00FE254F"/>
    <w:rsid w:val="00FE3023"/>
    <w:rsid w:val="00FE34AF"/>
    <w:rsid w:val="00FE3A3A"/>
    <w:rsid w:val="00FE5006"/>
    <w:rsid w:val="00FE5051"/>
    <w:rsid w:val="00FE5D4D"/>
    <w:rsid w:val="00FE5F48"/>
    <w:rsid w:val="00FE6BCA"/>
    <w:rsid w:val="00FE6C8E"/>
    <w:rsid w:val="00FE7867"/>
    <w:rsid w:val="00FE7ACE"/>
    <w:rsid w:val="00FF1FD6"/>
    <w:rsid w:val="00FF292A"/>
    <w:rsid w:val="00FF2DB9"/>
    <w:rsid w:val="00FF2DFD"/>
    <w:rsid w:val="00FF3113"/>
    <w:rsid w:val="00FF362A"/>
    <w:rsid w:val="00FF446A"/>
    <w:rsid w:val="00FF4DF2"/>
    <w:rsid w:val="00FF50F9"/>
    <w:rsid w:val="00FF51A6"/>
    <w:rsid w:val="00FF528A"/>
    <w:rsid w:val="00FF5FD7"/>
    <w:rsid w:val="00FF6BA6"/>
    <w:rsid w:val="00FF6D9A"/>
    <w:rsid w:val="00FF6F7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381E005A-8953-48A6-BA47-5B0DC5257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locked="1"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59BE"/>
    <w:rPr>
      <w:rFonts w:eastAsia="Batang"/>
      <w:sz w:val="24"/>
      <w:szCs w:val="24"/>
    </w:rPr>
  </w:style>
  <w:style w:type="paragraph" w:styleId="Ttulo1">
    <w:name w:val="heading 1"/>
    <w:basedOn w:val="Normal"/>
    <w:next w:val="Normal"/>
    <w:link w:val="Ttulo1Car"/>
    <w:qFormat/>
    <w:rsid w:val="008D59BE"/>
    <w:pPr>
      <w:keepNext/>
      <w:spacing w:before="240" w:after="60"/>
      <w:outlineLvl w:val="0"/>
    </w:pPr>
    <w:rPr>
      <w:rFonts w:ascii="Arial" w:eastAsia="Times New Roman" w:hAnsi="Arial" w:cs="Arial"/>
      <w:b/>
      <w:bCs/>
      <w:kern w:val="32"/>
      <w:sz w:val="32"/>
      <w:szCs w:val="32"/>
    </w:rPr>
  </w:style>
  <w:style w:type="paragraph" w:styleId="Ttulo2">
    <w:name w:val="heading 2"/>
    <w:basedOn w:val="Normal"/>
    <w:link w:val="Ttulo2Car"/>
    <w:qFormat/>
    <w:rsid w:val="008D59BE"/>
    <w:pPr>
      <w:spacing w:before="100" w:beforeAutospacing="1" w:after="100" w:afterAutospacing="1"/>
      <w:outlineLvl w:val="1"/>
    </w:pPr>
    <w:rPr>
      <w:rFonts w:eastAsia="Times New Roman"/>
      <w:b/>
      <w:bCs/>
      <w:sz w:val="36"/>
      <w:szCs w:val="36"/>
    </w:rPr>
  </w:style>
  <w:style w:type="paragraph" w:styleId="Ttulo7">
    <w:name w:val="heading 7"/>
    <w:basedOn w:val="Normal"/>
    <w:next w:val="Normal"/>
    <w:link w:val="Ttulo7Car"/>
    <w:semiHidden/>
    <w:unhideWhenUsed/>
    <w:qFormat/>
    <w:locked/>
    <w:rsid w:val="00881DDC"/>
    <w:pPr>
      <w:spacing w:before="240" w:after="60"/>
      <w:outlineLvl w:val="6"/>
    </w:pPr>
    <w:rPr>
      <w:rFonts w:ascii="Calibri" w:eastAsia="Times New Roman" w:hAnsi="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locked/>
    <w:rsid w:val="008D59BE"/>
    <w:rPr>
      <w:rFonts w:ascii="Arial" w:hAnsi="Arial" w:cs="Arial"/>
      <w:b/>
      <w:bCs/>
      <w:kern w:val="32"/>
      <w:sz w:val="32"/>
      <w:szCs w:val="32"/>
      <w:lang w:val="es-ES" w:eastAsia="es-ES" w:bidi="ar-SA"/>
    </w:rPr>
  </w:style>
  <w:style w:type="character" w:customStyle="1" w:styleId="Ttulo2Car">
    <w:name w:val="Título 2 Car"/>
    <w:link w:val="Ttulo2"/>
    <w:locked/>
    <w:rsid w:val="008D59BE"/>
    <w:rPr>
      <w:rFonts w:cs="Times New Roman"/>
      <w:b/>
      <w:bCs/>
      <w:sz w:val="36"/>
      <w:szCs w:val="36"/>
      <w:lang w:val="es-ES" w:eastAsia="es-ES" w:bidi="ar-SA"/>
    </w:rPr>
  </w:style>
  <w:style w:type="paragraph" w:styleId="Textoindependiente">
    <w:name w:val="Body Text"/>
    <w:aliases w:val="(no indent),Body Text (no indent)"/>
    <w:basedOn w:val="Normal"/>
    <w:link w:val="TextoindependienteCar"/>
    <w:rsid w:val="008D59BE"/>
    <w:rPr>
      <w:rFonts w:ascii="Arial" w:hAnsi="Arial"/>
      <w:szCs w:val="20"/>
      <w:lang w:val="es-ES_tradnl"/>
    </w:rPr>
  </w:style>
  <w:style w:type="character" w:customStyle="1" w:styleId="TextoindependienteCar">
    <w:name w:val="Texto independiente Car"/>
    <w:aliases w:val="(no indent) Car,Body Text (no indent) Car"/>
    <w:link w:val="Textoindependiente"/>
    <w:semiHidden/>
    <w:locked/>
    <w:rsid w:val="008D59BE"/>
    <w:rPr>
      <w:rFonts w:ascii="Arial" w:eastAsia="Batang" w:hAnsi="Arial" w:cs="Times New Roman"/>
      <w:sz w:val="24"/>
      <w:lang w:val="es-ES_tradnl" w:eastAsia="es-ES" w:bidi="ar-SA"/>
    </w:rPr>
  </w:style>
  <w:style w:type="paragraph" w:styleId="Encabezado">
    <w:name w:val="header"/>
    <w:basedOn w:val="Normal"/>
    <w:link w:val="EncabezadoCar"/>
    <w:rsid w:val="008D59BE"/>
    <w:pPr>
      <w:tabs>
        <w:tab w:val="center" w:pos="4252"/>
        <w:tab w:val="right" w:pos="8504"/>
      </w:tabs>
    </w:pPr>
  </w:style>
  <w:style w:type="character" w:customStyle="1" w:styleId="EncabezadoCar">
    <w:name w:val="Encabezado Car"/>
    <w:link w:val="Encabezado"/>
    <w:semiHidden/>
    <w:locked/>
    <w:rsid w:val="008D59BE"/>
    <w:rPr>
      <w:rFonts w:eastAsia="Batang" w:cs="Times New Roman"/>
      <w:sz w:val="24"/>
      <w:szCs w:val="24"/>
      <w:lang w:val="es-ES" w:eastAsia="es-ES" w:bidi="ar-SA"/>
    </w:rPr>
  </w:style>
  <w:style w:type="paragraph" w:styleId="Piedepgina">
    <w:name w:val="footer"/>
    <w:basedOn w:val="Normal"/>
    <w:link w:val="PiedepginaCar"/>
    <w:rsid w:val="008D59BE"/>
    <w:pPr>
      <w:tabs>
        <w:tab w:val="center" w:pos="4252"/>
        <w:tab w:val="right" w:pos="8504"/>
      </w:tabs>
    </w:pPr>
  </w:style>
  <w:style w:type="character" w:customStyle="1" w:styleId="PiedepginaCar">
    <w:name w:val="Pie de página Car"/>
    <w:link w:val="Piedepgina"/>
    <w:semiHidden/>
    <w:locked/>
    <w:rsid w:val="008D59BE"/>
    <w:rPr>
      <w:rFonts w:eastAsia="Batang" w:cs="Times New Roman"/>
      <w:sz w:val="24"/>
      <w:szCs w:val="24"/>
      <w:lang w:val="es-ES" w:eastAsia="es-ES" w:bidi="ar-SA"/>
    </w:rPr>
  </w:style>
  <w:style w:type="paragraph" w:styleId="Textoindependiente2">
    <w:name w:val="Body Text 2"/>
    <w:basedOn w:val="Normal"/>
    <w:link w:val="Textoindependiente2Car"/>
    <w:rsid w:val="008D59BE"/>
    <w:pPr>
      <w:spacing w:after="120" w:line="480" w:lineRule="auto"/>
    </w:pPr>
  </w:style>
  <w:style w:type="character" w:customStyle="1" w:styleId="Textoindependiente2Car">
    <w:name w:val="Texto independiente 2 Car"/>
    <w:link w:val="Textoindependiente2"/>
    <w:semiHidden/>
    <w:locked/>
    <w:rsid w:val="008D59BE"/>
    <w:rPr>
      <w:rFonts w:eastAsia="Batang" w:cs="Times New Roman"/>
      <w:sz w:val="24"/>
      <w:szCs w:val="24"/>
      <w:lang w:val="es-ES" w:eastAsia="es-ES" w:bidi="ar-SA"/>
    </w:rPr>
  </w:style>
  <w:style w:type="character" w:styleId="Textoennegrita">
    <w:name w:val="Strong"/>
    <w:qFormat/>
    <w:rsid w:val="008D59BE"/>
    <w:rPr>
      <w:rFonts w:cs="Times New Roman"/>
      <w:b/>
      <w:bCs/>
    </w:rPr>
  </w:style>
  <w:style w:type="paragraph" w:styleId="Sangradetextonormal">
    <w:name w:val="Body Text Indent"/>
    <w:basedOn w:val="Normal"/>
    <w:link w:val="SangradetextonormalCar"/>
    <w:rsid w:val="008D59BE"/>
    <w:pPr>
      <w:spacing w:after="120"/>
      <w:ind w:left="283"/>
    </w:pPr>
  </w:style>
  <w:style w:type="character" w:customStyle="1" w:styleId="SangradetextonormalCar">
    <w:name w:val="Sangría de texto normal Car"/>
    <w:link w:val="Sangradetextonormal"/>
    <w:semiHidden/>
    <w:locked/>
    <w:rsid w:val="008D59BE"/>
    <w:rPr>
      <w:rFonts w:eastAsia="Batang" w:cs="Times New Roman"/>
      <w:sz w:val="24"/>
      <w:szCs w:val="24"/>
      <w:lang w:val="es-ES" w:eastAsia="es-ES" w:bidi="ar-SA"/>
    </w:rPr>
  </w:style>
  <w:style w:type="paragraph" w:styleId="NormalWeb">
    <w:name w:val="Normal (Web)"/>
    <w:basedOn w:val="Normal"/>
    <w:rsid w:val="008D59BE"/>
    <w:pPr>
      <w:spacing w:before="100" w:beforeAutospacing="1" w:after="100" w:afterAutospacing="1"/>
    </w:pPr>
    <w:rPr>
      <w:rFonts w:eastAsia="Times New Roman"/>
    </w:rPr>
  </w:style>
  <w:style w:type="table" w:styleId="Tablaconcuadrcula">
    <w:name w:val="Table Grid"/>
    <w:basedOn w:val="Tablanormal"/>
    <w:uiPriority w:val="59"/>
    <w:rsid w:val="008D59BE"/>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rsid w:val="008D59BE"/>
    <w:rPr>
      <w:rFonts w:cs="Times New Roman"/>
    </w:rPr>
  </w:style>
  <w:style w:type="paragraph" w:styleId="Textoindependiente3">
    <w:name w:val="Body Text 3"/>
    <w:basedOn w:val="Normal"/>
    <w:link w:val="Textoindependiente3Car"/>
    <w:rsid w:val="00B655A6"/>
    <w:pPr>
      <w:spacing w:after="120"/>
    </w:pPr>
    <w:rPr>
      <w:rFonts w:eastAsia="Times New Roman"/>
      <w:sz w:val="16"/>
      <w:szCs w:val="16"/>
    </w:rPr>
  </w:style>
  <w:style w:type="character" w:customStyle="1" w:styleId="Textoindependiente3Car">
    <w:name w:val="Texto independiente 3 Car"/>
    <w:link w:val="Textoindependiente3"/>
    <w:locked/>
    <w:rsid w:val="00B655A6"/>
    <w:rPr>
      <w:rFonts w:cs="Times New Roman"/>
      <w:sz w:val="16"/>
      <w:szCs w:val="16"/>
      <w:lang w:val="es-ES" w:eastAsia="es-ES"/>
    </w:rPr>
  </w:style>
  <w:style w:type="paragraph" w:styleId="Textonotapie">
    <w:name w:val="footnote text"/>
    <w:aliases w:val="single space"/>
    <w:basedOn w:val="Normal"/>
    <w:link w:val="TextonotapieCar"/>
    <w:rsid w:val="00F91F58"/>
    <w:rPr>
      <w:rFonts w:eastAsia="Times New Roman"/>
      <w:sz w:val="20"/>
      <w:szCs w:val="20"/>
    </w:rPr>
  </w:style>
  <w:style w:type="character" w:styleId="Refdenotaalpie">
    <w:name w:val="footnote reference"/>
    <w:rsid w:val="00F91F58"/>
    <w:rPr>
      <w:vertAlign w:val="superscript"/>
    </w:rPr>
  </w:style>
  <w:style w:type="paragraph" w:customStyle="1" w:styleId="CarCarCarCar">
    <w:name w:val="Car Car Car Car"/>
    <w:basedOn w:val="Normal"/>
    <w:rsid w:val="00F91F58"/>
    <w:pPr>
      <w:spacing w:after="160" w:line="240" w:lineRule="exact"/>
    </w:pPr>
    <w:rPr>
      <w:rFonts w:ascii="Arial" w:eastAsia="Times New Roman" w:hAnsi="Arial"/>
      <w:sz w:val="20"/>
      <w:szCs w:val="20"/>
      <w:lang w:val="en-US" w:eastAsia="en-US"/>
    </w:rPr>
  </w:style>
  <w:style w:type="paragraph" w:customStyle="1" w:styleId="Prrafodelista1">
    <w:name w:val="Párrafo de lista1"/>
    <w:basedOn w:val="Normal"/>
    <w:rsid w:val="00C20EC0"/>
    <w:pPr>
      <w:spacing w:after="200" w:line="276" w:lineRule="auto"/>
      <w:ind w:left="720"/>
      <w:contextualSpacing/>
    </w:pPr>
    <w:rPr>
      <w:rFonts w:ascii="Calibri" w:eastAsia="Times New Roman" w:hAnsi="Calibri"/>
      <w:sz w:val="22"/>
      <w:szCs w:val="22"/>
      <w:lang w:eastAsia="en-US"/>
    </w:rPr>
  </w:style>
  <w:style w:type="paragraph" w:styleId="Prrafodelista">
    <w:name w:val="List Paragraph"/>
    <w:basedOn w:val="Normal"/>
    <w:uiPriority w:val="34"/>
    <w:qFormat/>
    <w:rsid w:val="00400DC5"/>
    <w:pPr>
      <w:spacing w:after="200" w:line="276" w:lineRule="auto"/>
      <w:ind w:left="720"/>
      <w:contextualSpacing/>
    </w:pPr>
    <w:rPr>
      <w:rFonts w:ascii="Calibri" w:eastAsia="Calibri" w:hAnsi="Calibri"/>
      <w:sz w:val="22"/>
      <w:szCs w:val="22"/>
      <w:lang w:eastAsia="en-US"/>
    </w:rPr>
  </w:style>
  <w:style w:type="paragraph" w:styleId="Mapadeldocumento">
    <w:name w:val="Document Map"/>
    <w:basedOn w:val="Normal"/>
    <w:semiHidden/>
    <w:rsid w:val="00105385"/>
    <w:pPr>
      <w:shd w:val="clear" w:color="auto" w:fill="000080"/>
    </w:pPr>
    <w:rPr>
      <w:rFonts w:ascii="Tahoma" w:hAnsi="Tahoma" w:cs="Tahoma"/>
      <w:sz w:val="20"/>
      <w:szCs w:val="20"/>
    </w:rPr>
  </w:style>
  <w:style w:type="character" w:customStyle="1" w:styleId="Heading2Char">
    <w:name w:val="Heading 2 Char"/>
    <w:basedOn w:val="Fuentedeprrafopredeter"/>
    <w:semiHidden/>
    <w:locked/>
    <w:rsid w:val="00EC653D"/>
    <w:rPr>
      <w:b/>
      <w:bCs/>
      <w:sz w:val="36"/>
      <w:szCs w:val="36"/>
      <w:lang w:val="es-ES" w:eastAsia="es-ES" w:bidi="ar-SA"/>
    </w:rPr>
  </w:style>
  <w:style w:type="character" w:customStyle="1" w:styleId="BodyTextChar">
    <w:name w:val="Body Text Char"/>
    <w:aliases w:val="(no indent) Char,Body Text (no indent) Char"/>
    <w:basedOn w:val="Fuentedeprrafopredeter"/>
    <w:semiHidden/>
    <w:locked/>
    <w:rsid w:val="00EC653D"/>
    <w:rPr>
      <w:rFonts w:ascii="Arial" w:eastAsia="Batang" w:hAnsi="Arial"/>
      <w:sz w:val="24"/>
      <w:lang w:val="es-ES_tradnl" w:eastAsia="es-ES" w:bidi="ar-SA"/>
    </w:rPr>
  </w:style>
  <w:style w:type="character" w:styleId="Refdecomentario">
    <w:name w:val="annotation reference"/>
    <w:basedOn w:val="Fuentedeprrafopredeter"/>
    <w:semiHidden/>
    <w:rsid w:val="009C63FF"/>
    <w:rPr>
      <w:sz w:val="16"/>
      <w:szCs w:val="16"/>
    </w:rPr>
  </w:style>
  <w:style w:type="paragraph" w:styleId="Textocomentario">
    <w:name w:val="annotation text"/>
    <w:basedOn w:val="Normal"/>
    <w:semiHidden/>
    <w:rsid w:val="009C63FF"/>
    <w:rPr>
      <w:rFonts w:eastAsia="Times New Roman"/>
      <w:sz w:val="20"/>
      <w:szCs w:val="20"/>
      <w:lang w:val="es-CR"/>
    </w:rPr>
  </w:style>
  <w:style w:type="paragraph" w:styleId="Textodeglobo">
    <w:name w:val="Balloon Text"/>
    <w:basedOn w:val="Normal"/>
    <w:semiHidden/>
    <w:rsid w:val="009C63FF"/>
    <w:rPr>
      <w:rFonts w:ascii="Tahoma" w:hAnsi="Tahoma" w:cs="Tahoma"/>
      <w:sz w:val="16"/>
      <w:szCs w:val="16"/>
    </w:rPr>
  </w:style>
  <w:style w:type="character" w:customStyle="1" w:styleId="TextonotapieCar">
    <w:name w:val="Texto nota pie Car"/>
    <w:aliases w:val="single space Car"/>
    <w:basedOn w:val="Fuentedeprrafopredeter"/>
    <w:link w:val="Textonotapie"/>
    <w:rsid w:val="00671069"/>
  </w:style>
  <w:style w:type="table" w:styleId="Tablaconcuadrcula8">
    <w:name w:val="Table Grid 8"/>
    <w:basedOn w:val="Tablanormal"/>
    <w:rsid w:val="002C627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Listaoscura-nfasis1">
    <w:name w:val="Dark List Accent 1"/>
    <w:basedOn w:val="Tablanormal"/>
    <w:uiPriority w:val="70"/>
    <w:rsid w:val="002C6271"/>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Tablaconcolumnas3">
    <w:name w:val="Table Columns 3"/>
    <w:basedOn w:val="Tablanormal"/>
    <w:rsid w:val="002C627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styleId="TtulodeTDC">
    <w:name w:val="TOC Heading"/>
    <w:basedOn w:val="Ttulo1"/>
    <w:next w:val="Normal"/>
    <w:uiPriority w:val="39"/>
    <w:semiHidden/>
    <w:unhideWhenUsed/>
    <w:qFormat/>
    <w:rsid w:val="00672185"/>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TDC2">
    <w:name w:val="toc 2"/>
    <w:basedOn w:val="Normal"/>
    <w:next w:val="Normal"/>
    <w:autoRedefine/>
    <w:uiPriority w:val="39"/>
    <w:unhideWhenUsed/>
    <w:qFormat/>
    <w:rsid w:val="00910A0D"/>
    <w:pPr>
      <w:tabs>
        <w:tab w:val="right" w:leader="dot" w:pos="8637"/>
      </w:tabs>
      <w:spacing w:after="100" w:line="276" w:lineRule="auto"/>
      <w:ind w:left="993" w:hanging="773"/>
    </w:pPr>
    <w:rPr>
      <w:rFonts w:asciiTheme="minorHAnsi" w:eastAsiaTheme="minorEastAsia" w:hAnsiTheme="minorHAnsi" w:cstheme="minorBidi"/>
      <w:sz w:val="22"/>
      <w:szCs w:val="22"/>
      <w:lang w:eastAsia="en-US"/>
    </w:rPr>
  </w:style>
  <w:style w:type="paragraph" w:styleId="TDC1">
    <w:name w:val="toc 1"/>
    <w:basedOn w:val="Normal"/>
    <w:next w:val="Normal"/>
    <w:autoRedefine/>
    <w:uiPriority w:val="39"/>
    <w:unhideWhenUsed/>
    <w:qFormat/>
    <w:rsid w:val="000C30BD"/>
    <w:pPr>
      <w:tabs>
        <w:tab w:val="right" w:leader="dot" w:pos="8637"/>
      </w:tabs>
      <w:spacing w:after="100" w:line="276" w:lineRule="auto"/>
      <w:ind w:left="709" w:hanging="283"/>
    </w:pPr>
    <w:rPr>
      <w:rFonts w:ascii="Arial" w:eastAsiaTheme="minorEastAsia" w:hAnsi="Arial" w:cs="Arial"/>
      <w:b/>
      <w:noProof/>
      <w:sz w:val="22"/>
      <w:szCs w:val="22"/>
      <w:lang w:eastAsia="en-US"/>
    </w:rPr>
  </w:style>
  <w:style w:type="paragraph" w:styleId="TDC3">
    <w:name w:val="toc 3"/>
    <w:basedOn w:val="Normal"/>
    <w:next w:val="Normal"/>
    <w:autoRedefine/>
    <w:uiPriority w:val="39"/>
    <w:unhideWhenUsed/>
    <w:qFormat/>
    <w:rsid w:val="00672185"/>
    <w:pPr>
      <w:spacing w:after="100" w:line="276" w:lineRule="auto"/>
      <w:ind w:left="440"/>
    </w:pPr>
    <w:rPr>
      <w:rFonts w:asciiTheme="minorHAnsi" w:eastAsiaTheme="minorEastAsia" w:hAnsiTheme="minorHAnsi" w:cstheme="minorBidi"/>
      <w:sz w:val="22"/>
      <w:szCs w:val="22"/>
      <w:lang w:eastAsia="en-US"/>
    </w:rPr>
  </w:style>
  <w:style w:type="character" w:styleId="Hipervnculo">
    <w:name w:val="Hyperlink"/>
    <w:basedOn w:val="Fuentedeprrafopredeter"/>
    <w:uiPriority w:val="99"/>
    <w:unhideWhenUsed/>
    <w:rsid w:val="00672185"/>
    <w:rPr>
      <w:color w:val="0000FF" w:themeColor="hyperlink"/>
      <w:u w:val="single"/>
    </w:rPr>
  </w:style>
  <w:style w:type="character" w:customStyle="1" w:styleId="Ttulo7Car">
    <w:name w:val="Título 7 Car"/>
    <w:basedOn w:val="Fuentedeprrafopredeter"/>
    <w:link w:val="Ttulo7"/>
    <w:semiHidden/>
    <w:rsid w:val="00881DDC"/>
    <w:rPr>
      <w:rFonts w:ascii="Calibri"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21804">
      <w:bodyDiv w:val="1"/>
      <w:marLeft w:val="0"/>
      <w:marRight w:val="0"/>
      <w:marTop w:val="0"/>
      <w:marBottom w:val="0"/>
      <w:divBdr>
        <w:top w:val="none" w:sz="0" w:space="0" w:color="auto"/>
        <w:left w:val="none" w:sz="0" w:space="0" w:color="auto"/>
        <w:bottom w:val="none" w:sz="0" w:space="0" w:color="auto"/>
        <w:right w:val="none" w:sz="0" w:space="0" w:color="auto"/>
      </w:divBdr>
    </w:div>
    <w:div w:id="200755098">
      <w:bodyDiv w:val="1"/>
      <w:marLeft w:val="0"/>
      <w:marRight w:val="0"/>
      <w:marTop w:val="0"/>
      <w:marBottom w:val="0"/>
      <w:divBdr>
        <w:top w:val="none" w:sz="0" w:space="0" w:color="auto"/>
        <w:left w:val="none" w:sz="0" w:space="0" w:color="auto"/>
        <w:bottom w:val="none" w:sz="0" w:space="0" w:color="auto"/>
        <w:right w:val="none" w:sz="0" w:space="0" w:color="auto"/>
      </w:divBdr>
    </w:div>
    <w:div w:id="224536086">
      <w:bodyDiv w:val="1"/>
      <w:marLeft w:val="0"/>
      <w:marRight w:val="0"/>
      <w:marTop w:val="0"/>
      <w:marBottom w:val="0"/>
      <w:divBdr>
        <w:top w:val="none" w:sz="0" w:space="0" w:color="auto"/>
        <w:left w:val="none" w:sz="0" w:space="0" w:color="auto"/>
        <w:bottom w:val="none" w:sz="0" w:space="0" w:color="auto"/>
        <w:right w:val="none" w:sz="0" w:space="0" w:color="auto"/>
      </w:divBdr>
    </w:div>
    <w:div w:id="437676308">
      <w:bodyDiv w:val="1"/>
      <w:marLeft w:val="0"/>
      <w:marRight w:val="0"/>
      <w:marTop w:val="0"/>
      <w:marBottom w:val="0"/>
      <w:divBdr>
        <w:top w:val="none" w:sz="0" w:space="0" w:color="auto"/>
        <w:left w:val="none" w:sz="0" w:space="0" w:color="auto"/>
        <w:bottom w:val="none" w:sz="0" w:space="0" w:color="auto"/>
        <w:right w:val="none" w:sz="0" w:space="0" w:color="auto"/>
      </w:divBdr>
    </w:div>
    <w:div w:id="1057630104">
      <w:bodyDiv w:val="1"/>
      <w:marLeft w:val="0"/>
      <w:marRight w:val="0"/>
      <w:marTop w:val="0"/>
      <w:marBottom w:val="0"/>
      <w:divBdr>
        <w:top w:val="none" w:sz="0" w:space="0" w:color="auto"/>
        <w:left w:val="none" w:sz="0" w:space="0" w:color="auto"/>
        <w:bottom w:val="none" w:sz="0" w:space="0" w:color="auto"/>
        <w:right w:val="none" w:sz="0" w:space="0" w:color="auto"/>
      </w:divBdr>
    </w:div>
    <w:div w:id="1268468458">
      <w:bodyDiv w:val="1"/>
      <w:marLeft w:val="0"/>
      <w:marRight w:val="0"/>
      <w:marTop w:val="0"/>
      <w:marBottom w:val="0"/>
      <w:divBdr>
        <w:top w:val="none" w:sz="0" w:space="0" w:color="auto"/>
        <w:left w:val="none" w:sz="0" w:space="0" w:color="auto"/>
        <w:bottom w:val="none" w:sz="0" w:space="0" w:color="auto"/>
        <w:right w:val="none" w:sz="0" w:space="0" w:color="auto"/>
      </w:divBdr>
    </w:div>
    <w:div w:id="1428236662">
      <w:bodyDiv w:val="1"/>
      <w:marLeft w:val="0"/>
      <w:marRight w:val="0"/>
      <w:marTop w:val="0"/>
      <w:marBottom w:val="0"/>
      <w:divBdr>
        <w:top w:val="none" w:sz="0" w:space="0" w:color="auto"/>
        <w:left w:val="none" w:sz="0" w:space="0" w:color="auto"/>
        <w:bottom w:val="none" w:sz="0" w:space="0" w:color="auto"/>
        <w:right w:val="none" w:sz="0" w:space="0" w:color="auto"/>
      </w:divBdr>
    </w:div>
    <w:div w:id="1699309845">
      <w:bodyDiv w:val="1"/>
      <w:marLeft w:val="0"/>
      <w:marRight w:val="0"/>
      <w:marTop w:val="0"/>
      <w:marBottom w:val="0"/>
      <w:divBdr>
        <w:top w:val="none" w:sz="0" w:space="0" w:color="auto"/>
        <w:left w:val="none" w:sz="0" w:space="0" w:color="auto"/>
        <w:bottom w:val="none" w:sz="0" w:space="0" w:color="auto"/>
        <w:right w:val="none" w:sz="0" w:space="0" w:color="auto"/>
      </w:divBdr>
    </w:div>
    <w:div w:id="1859267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Hoja_de_c_lculo_de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Hoja_de_c_lculo_de_Microsoft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s-ES">
                <a:latin typeface="Times New Roman" pitchFamily="18" charset="0"/>
                <a:cs typeface="Times New Roman" pitchFamily="18" charset="0"/>
              </a:rPr>
              <a:t>Utilidades</a:t>
            </a:r>
            <a:r>
              <a:rPr lang="es-ES" baseline="0">
                <a:latin typeface="Times New Roman" pitchFamily="18" charset="0"/>
                <a:cs typeface="Times New Roman" pitchFamily="18" charset="0"/>
              </a:rPr>
              <a:t> Transferidas por Área</a:t>
            </a:r>
          </a:p>
          <a:p>
            <a:pPr>
              <a:defRPr/>
            </a:pPr>
            <a:r>
              <a:rPr lang="es-ES" baseline="0">
                <a:latin typeface="Times New Roman" pitchFamily="18" charset="0"/>
                <a:cs typeface="Times New Roman" pitchFamily="18" charset="0"/>
              </a:rPr>
              <a:t>Para el año 2013</a:t>
            </a:r>
            <a:endParaRPr lang="es-ES">
              <a:latin typeface="Times New Roman" pitchFamily="18" charset="0"/>
              <a:cs typeface="Times New Roman" pitchFamily="18" charset="0"/>
            </a:endParaRPr>
          </a:p>
        </c:rich>
      </c:tx>
      <c:overlay val="0"/>
    </c:title>
    <c:autoTitleDeleted val="0"/>
    <c:plotArea>
      <c:layout/>
      <c:barChart>
        <c:barDir val="col"/>
        <c:grouping val="clustered"/>
        <c:varyColors val="0"/>
        <c:ser>
          <c:idx val="0"/>
          <c:order val="0"/>
          <c:invertIfNegative val="0"/>
          <c:cat>
            <c:strRef>
              <c:f>graficos!$A$2:$A$14</c:f>
              <c:strCache>
                <c:ptCount val="13"/>
                <c:pt idx="0">
                  <c:v>Adulto Mayor</c:v>
                </c:pt>
                <c:pt idx="1">
                  <c:v>Centros Diurnos</c:v>
                </c:pt>
                <c:pt idx="2">
                  <c:v>Menores Abandono</c:v>
                </c:pt>
                <c:pt idx="3">
                  <c:v>Cruzada Nacional de Protec. al Anciano</c:v>
                </c:pt>
                <c:pt idx="4">
                  <c:v>VIH/SIDA</c:v>
                </c:pt>
                <c:pt idx="5">
                  <c:v>Menores privados libertad</c:v>
                </c:pt>
                <c:pt idx="6">
                  <c:v>Discapacidad</c:v>
                </c:pt>
                <c:pt idx="7">
                  <c:v>Juntas Adm.</c:v>
                </c:pt>
                <c:pt idx="8">
                  <c:v>Alcoholismo</c:v>
                </c:pt>
                <c:pt idx="9">
                  <c:v>Hospital Blanco Cervantes</c:v>
                </c:pt>
                <c:pt idx="10">
                  <c:v>Prevención  del Cáncer</c:v>
                </c:pt>
                <c:pt idx="11">
                  <c:v>Cuidados Paliativos</c:v>
                </c:pt>
                <c:pt idx="12">
                  <c:v>Explotación sexual</c:v>
                </c:pt>
              </c:strCache>
            </c:strRef>
          </c:cat>
          <c:val>
            <c:numRef>
              <c:f>graficos!$B$2:$B$14</c:f>
              <c:numCache>
                <c:formatCode>#,##0.00</c:formatCode>
                <c:ptCount val="13"/>
                <c:pt idx="0">
                  <c:v>5313344516.1399994</c:v>
                </c:pt>
                <c:pt idx="1">
                  <c:v>1406023787.5199997</c:v>
                </c:pt>
                <c:pt idx="2">
                  <c:v>1215289133.5299997</c:v>
                </c:pt>
                <c:pt idx="3">
                  <c:v>93390122.409999996</c:v>
                </c:pt>
                <c:pt idx="4">
                  <c:v>80103848.120000005</c:v>
                </c:pt>
                <c:pt idx="5">
                  <c:v>239106154.18000001</c:v>
                </c:pt>
                <c:pt idx="6">
                  <c:v>786326643.23000002</c:v>
                </c:pt>
                <c:pt idx="7">
                  <c:v>479007099.81</c:v>
                </c:pt>
                <c:pt idx="8">
                  <c:v>763209688.87</c:v>
                </c:pt>
                <c:pt idx="9">
                  <c:v>77202501.169999987</c:v>
                </c:pt>
                <c:pt idx="10">
                  <c:v>568193036.97000003</c:v>
                </c:pt>
                <c:pt idx="11">
                  <c:v>538570641.5</c:v>
                </c:pt>
                <c:pt idx="12">
                  <c:v>77825102.040000007</c:v>
                </c:pt>
              </c:numCache>
            </c:numRef>
          </c:val>
        </c:ser>
        <c:dLbls>
          <c:showLegendKey val="0"/>
          <c:showVal val="0"/>
          <c:showCatName val="0"/>
          <c:showSerName val="0"/>
          <c:showPercent val="0"/>
          <c:showBubbleSize val="0"/>
        </c:dLbls>
        <c:gapWidth val="150"/>
        <c:axId val="330834944"/>
        <c:axId val="330835728"/>
      </c:barChart>
      <c:catAx>
        <c:axId val="330834944"/>
        <c:scaling>
          <c:orientation val="minMax"/>
        </c:scaling>
        <c:delete val="0"/>
        <c:axPos val="b"/>
        <c:numFmt formatCode="General" sourceLinked="0"/>
        <c:majorTickMark val="none"/>
        <c:minorTickMark val="none"/>
        <c:tickLblPos val="nextTo"/>
        <c:txPr>
          <a:bodyPr rot="1800000" vert="horz"/>
          <a:lstStyle/>
          <a:p>
            <a:pPr>
              <a:defRPr b="1" i="0" baseline="0">
                <a:latin typeface="Times New Roman" pitchFamily="18" charset="0"/>
              </a:defRPr>
            </a:pPr>
            <a:endParaRPr lang="es-CR"/>
          </a:p>
        </c:txPr>
        <c:crossAx val="330835728"/>
        <c:crosses val="autoZero"/>
        <c:auto val="1"/>
        <c:lblAlgn val="ctr"/>
        <c:lblOffset val="100"/>
        <c:noMultiLvlLbl val="0"/>
      </c:catAx>
      <c:valAx>
        <c:axId val="330835728"/>
        <c:scaling>
          <c:orientation val="minMax"/>
          <c:min val="0"/>
        </c:scaling>
        <c:delete val="0"/>
        <c:axPos val="l"/>
        <c:majorGridlines/>
        <c:title>
          <c:tx>
            <c:rich>
              <a:bodyPr/>
              <a:lstStyle/>
              <a:p>
                <a:pPr>
                  <a:defRPr>
                    <a:latin typeface="Times New Roman" pitchFamily="18" charset="0"/>
                    <a:cs typeface="Times New Roman" pitchFamily="18" charset="0"/>
                  </a:defRPr>
                </a:pPr>
                <a:r>
                  <a:rPr lang="es-ES">
                    <a:latin typeface="Times New Roman" pitchFamily="18" charset="0"/>
                    <a:cs typeface="Times New Roman" pitchFamily="18" charset="0"/>
                  </a:rPr>
                  <a:t>Colones</a:t>
                </a:r>
              </a:p>
            </c:rich>
          </c:tx>
          <c:overlay val="0"/>
        </c:title>
        <c:numFmt formatCode="#,##0" sourceLinked="0"/>
        <c:majorTickMark val="none"/>
        <c:minorTickMark val="none"/>
        <c:tickLblPos val="nextTo"/>
        <c:txPr>
          <a:bodyPr/>
          <a:lstStyle/>
          <a:p>
            <a:pPr>
              <a:defRPr b="1" i="0" baseline="0">
                <a:latin typeface="Times New Roman" pitchFamily="18" charset="0"/>
              </a:defRPr>
            </a:pPr>
            <a:endParaRPr lang="es-CR"/>
          </a:p>
        </c:txPr>
        <c:crossAx val="330834944"/>
        <c:crosses val="autoZero"/>
        <c:crossBetween val="between"/>
      </c:valAx>
      <c:dTable>
        <c:showHorzBorder val="1"/>
        <c:showVertBorder val="1"/>
        <c:showOutline val="1"/>
        <c:showKeys val="1"/>
        <c:txPr>
          <a:bodyPr/>
          <a:lstStyle/>
          <a:p>
            <a:pPr rtl="0">
              <a:defRPr sz="800" b="1" i="0" baseline="0">
                <a:latin typeface="Times New Roman" pitchFamily="18" charset="0"/>
              </a:defRPr>
            </a:pPr>
            <a:endParaRPr lang="es-CR"/>
          </a:p>
        </c:txPr>
      </c:dTable>
      <c:spPr>
        <a:noFill/>
      </c:spPr>
    </c:plotArea>
    <c:plotVisOnly val="1"/>
    <c:dispBlanksAs val="gap"/>
    <c:showDLblsOverMax val="0"/>
  </c:chart>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a:pPr>
            <a:r>
              <a:rPr lang="es-ES">
                <a:latin typeface="Times New Roman" pitchFamily="18" charset="0"/>
                <a:cs typeface="Times New Roman" pitchFamily="18" charset="0"/>
              </a:rPr>
              <a:t>Utilidades Distribuidas por Entidad</a:t>
            </a:r>
          </a:p>
          <a:p>
            <a:pPr>
              <a:defRPr/>
            </a:pPr>
            <a:r>
              <a:rPr lang="es-ES">
                <a:latin typeface="Times New Roman" pitchFamily="18" charset="0"/>
                <a:cs typeface="Times New Roman" pitchFamily="18" charset="0"/>
              </a:rPr>
              <a:t>Para el año</a:t>
            </a:r>
            <a:r>
              <a:rPr lang="es-ES" baseline="0">
                <a:latin typeface="Times New Roman" pitchFamily="18" charset="0"/>
                <a:cs typeface="Times New Roman" pitchFamily="18" charset="0"/>
              </a:rPr>
              <a:t> 2013</a:t>
            </a:r>
            <a:endParaRPr lang="es-ES">
              <a:latin typeface="Times New Roman" pitchFamily="18" charset="0"/>
              <a:cs typeface="Times New Roman" pitchFamily="18" charset="0"/>
            </a:endParaRPr>
          </a:p>
        </c:rich>
      </c:tx>
      <c:layout>
        <c:manualLayout>
          <c:xMode val="edge"/>
          <c:yMode val="edge"/>
          <c:x val="0.16156434964716662"/>
          <c:y val="1.3961601747508854E-2"/>
        </c:manualLayout>
      </c:layout>
      <c:overlay val="0"/>
    </c:title>
    <c:autoTitleDeleted val="0"/>
    <c:plotArea>
      <c:layout/>
      <c:pieChart>
        <c:varyColors val="1"/>
        <c:ser>
          <c:idx val="0"/>
          <c:order val="0"/>
          <c:spPr>
            <a:effectLst>
              <a:outerShdw blurRad="40000" dist="23000" dir="5400000" rotWithShape="0">
                <a:srgbClr val="000000">
                  <a:alpha val="35000"/>
                </a:srgbClr>
              </a:outerShdw>
            </a:effectLst>
            <a:scene3d>
              <a:camera prst="orthographicFront"/>
              <a:lightRig rig="threePt" dir="t">
                <a:rot lat="0" lon="0" rev="2400000"/>
              </a:lightRig>
            </a:scene3d>
            <a:sp3d>
              <a:bevelT w="63500" h="25400"/>
            </a:sp3d>
          </c:spPr>
          <c:dPt>
            <c:idx val="3"/>
            <c:bubble3D val="0"/>
            <c:spPr>
              <a:effectLst>
                <a:outerShdw blurRad="40000" dist="23000" dir="5400000" rotWithShape="0">
                  <a:srgbClr val="000000">
                    <a:alpha val="35000"/>
                  </a:srgbClr>
                </a:outerShdw>
              </a:effectLst>
              <a:scene3d>
                <a:camera prst="orthographicFront"/>
                <a:lightRig rig="threePt" dir="t">
                  <a:rot lat="0" lon="0" rev="3600000"/>
                </a:lightRig>
              </a:scene3d>
            </c:spPr>
          </c:dPt>
          <c:dLbls>
            <c:dLbl>
              <c:idx val="0"/>
              <c:layout>
                <c:manualLayout>
                  <c:x val="8.7421266963952554E-2"/>
                  <c:y val="2.7201762459836347E-2"/>
                </c:manualLayout>
              </c:layout>
              <c:showLegendKey val="0"/>
              <c:showVal val="0"/>
              <c:showCatName val="1"/>
              <c:showSerName val="0"/>
              <c:showPercent val="0"/>
              <c:showBubbleSize val="0"/>
              <c:extLst>
                <c:ext xmlns:c15="http://schemas.microsoft.com/office/drawing/2012/chart" uri="{CE6537A1-D6FC-4f65-9D91-7224C49458BB}"/>
              </c:extLst>
            </c:dLbl>
            <c:dLbl>
              <c:idx val="1"/>
              <c:layout>
                <c:manualLayout>
                  <c:x val="8.540453387825428E-2"/>
                  <c:y val="4.1270000063211978E-2"/>
                </c:manualLayout>
              </c:layout>
              <c:showLegendKey val="0"/>
              <c:showVal val="0"/>
              <c:showCatName val="1"/>
              <c:showSerName val="0"/>
              <c:showPercent val="0"/>
              <c:showBubbleSize val="0"/>
              <c:extLst>
                <c:ext xmlns:c15="http://schemas.microsoft.com/office/drawing/2012/chart" uri="{CE6537A1-D6FC-4f65-9D91-7224C49458BB}"/>
              </c:extLst>
            </c:dLbl>
            <c:dLbl>
              <c:idx val="2"/>
              <c:layout>
                <c:manualLayout>
                  <c:x val="3.853567212718343E-2"/>
                  <c:y val="1.7071356152490374E-2"/>
                </c:manualLayout>
              </c:layout>
              <c:showLegendKey val="0"/>
              <c:showVal val="0"/>
              <c:showCatName val="1"/>
              <c:showSerName val="0"/>
              <c:showPercent val="0"/>
              <c:showBubbleSize val="0"/>
              <c:extLst>
                <c:ext xmlns:c15="http://schemas.microsoft.com/office/drawing/2012/chart" uri="{CE6537A1-D6FC-4f65-9D91-7224C49458BB}"/>
              </c:extLst>
            </c:dLbl>
            <c:dLbl>
              <c:idx val="3"/>
              <c:layout>
                <c:manualLayout>
                  <c:x val="7.6785567756224402E-2"/>
                  <c:y val="-2.4867316687329655E-2"/>
                </c:manualLayout>
              </c:layout>
              <c:showLegendKey val="0"/>
              <c:showVal val="0"/>
              <c:showCatName val="1"/>
              <c:showSerName val="0"/>
              <c:showPercent val="0"/>
              <c:showBubbleSize val="0"/>
              <c:extLst>
                <c:ext xmlns:c15="http://schemas.microsoft.com/office/drawing/2012/chart" uri="{CE6537A1-D6FC-4f65-9D91-7224C49458BB}"/>
              </c:extLst>
            </c:dLbl>
            <c:dLbl>
              <c:idx val="4"/>
              <c:layout>
                <c:manualLayout>
                  <c:x val="2.8332238298940032E-2"/>
                  <c:y val="3.6612651574761491E-2"/>
                </c:manualLayout>
              </c:layout>
              <c:showLegendKey val="0"/>
              <c:showVal val="0"/>
              <c:showCatName val="1"/>
              <c:showSerName val="0"/>
              <c:showPercent val="0"/>
              <c:showBubbleSize val="0"/>
              <c:extLst>
                <c:ext xmlns:c15="http://schemas.microsoft.com/office/drawing/2012/chart" uri="{CE6537A1-D6FC-4f65-9D91-7224C49458BB}"/>
              </c:extLst>
            </c:dLbl>
            <c:dLbl>
              <c:idx val="5"/>
              <c:layout>
                <c:manualLayout>
                  <c:x val="-2.0349068033188745E-2"/>
                  <c:y val="-6.5987806684584052E-4"/>
                </c:manualLayout>
              </c:layout>
              <c:showLegendKey val="0"/>
              <c:showVal val="0"/>
              <c:showCatName val="1"/>
              <c:showSerName val="0"/>
              <c:showPercent val="0"/>
              <c:showBubbleSize val="0"/>
              <c:extLst>
                <c:ext xmlns:c15="http://schemas.microsoft.com/office/drawing/2012/chart" uri="{CE6537A1-D6FC-4f65-9D91-7224C49458BB}"/>
              </c:extLst>
            </c:dLbl>
            <c:dLbl>
              <c:idx val="6"/>
              <c:layout>
                <c:manualLayout>
                  <c:x val="-2.2265930950106424E-2"/>
                  <c:y val="-4.961920280903033E-2"/>
                </c:manualLayout>
              </c:layout>
              <c:showLegendKey val="0"/>
              <c:showVal val="0"/>
              <c:showCatName val="1"/>
              <c:showSerName val="0"/>
              <c:showPercent val="0"/>
              <c:showBubbleSize val="0"/>
              <c:extLst>
                <c:ext xmlns:c15="http://schemas.microsoft.com/office/drawing/2012/chart" uri="{CE6537A1-D6FC-4f65-9D91-7224C49458BB}"/>
              </c:extLst>
            </c:dLbl>
            <c:dLbl>
              <c:idx val="7"/>
              <c:layout>
                <c:manualLayout>
                  <c:x val="-2.5274543472991753E-2"/>
                  <c:y val="-2.558738354911062E-2"/>
                </c:manualLayout>
              </c:layout>
              <c:showLegendKey val="0"/>
              <c:showVal val="0"/>
              <c:showCatName val="1"/>
              <c:showSerName val="0"/>
              <c:showPercent val="0"/>
              <c:showBubbleSize val="0"/>
              <c:extLst>
                <c:ext xmlns:c15="http://schemas.microsoft.com/office/drawing/2012/chart" uri="{CE6537A1-D6FC-4f65-9D91-7224C49458BB}"/>
              </c:extLst>
            </c:dLbl>
            <c:dLbl>
              <c:idx val="8"/>
              <c:layout>
                <c:manualLayout>
                  <c:x val="-7.4720131381386362E-2"/>
                  <c:y val="6.9808008737544155E-2"/>
                </c:manualLayout>
              </c:layout>
              <c:showLegendKey val="0"/>
              <c:showVal val="0"/>
              <c:showCatName val="1"/>
              <c:showSerName val="0"/>
              <c:showPercent val="0"/>
              <c:showBubbleSize val="0"/>
              <c:extLst>
                <c:ext xmlns:c15="http://schemas.microsoft.com/office/drawing/2012/chart" uri="{CE6537A1-D6FC-4f65-9D91-7224C49458BB}"/>
              </c:extLst>
            </c:dLbl>
            <c:dLbl>
              <c:idx val="9"/>
              <c:layout>
                <c:manualLayout>
                  <c:x val="-2.4110212700718666E-2"/>
                  <c:y val="-1.765455534359691E-2"/>
                </c:manualLayout>
              </c:layout>
              <c:showLegendKey val="0"/>
              <c:showVal val="0"/>
              <c:showCatName val="1"/>
              <c:showSerName val="0"/>
              <c:showPercent val="0"/>
              <c:showBubbleSize val="0"/>
              <c:extLst>
                <c:ext xmlns:c15="http://schemas.microsoft.com/office/drawing/2012/chart" uri="{CE6537A1-D6FC-4f65-9D91-7224C49458BB}"/>
              </c:extLst>
            </c:dLbl>
            <c:dLbl>
              <c:idx val="10"/>
              <c:layout>
                <c:manualLayout>
                  <c:x val="8.6589331402383729E-2"/>
                  <c:y val="-1.6686037931033536E-2"/>
                </c:manualLayout>
              </c:layout>
              <c:showLegendKey val="0"/>
              <c:showVal val="0"/>
              <c:showCatName val="1"/>
              <c:showSerName val="0"/>
              <c:showPercent val="0"/>
              <c:showBubbleSize val="0"/>
              <c:extLst>
                <c:ext xmlns:c15="http://schemas.microsoft.com/office/drawing/2012/chart" uri="{CE6537A1-D6FC-4f65-9D91-7224C49458BB}"/>
              </c:extLst>
            </c:dLbl>
            <c:dLbl>
              <c:idx val="11"/>
              <c:layout>
                <c:manualLayout>
                  <c:x val="2.6692624066891407E-2"/>
                  <c:y val="3.6624740699457911E-2"/>
                </c:manualLayout>
              </c:layout>
              <c:showLegendKey val="0"/>
              <c:showVal val="0"/>
              <c:showCatName val="1"/>
              <c:showSerName val="0"/>
              <c:showPercent val="0"/>
              <c:showBubbleSize val="0"/>
              <c:extLst>
                <c:ext xmlns:c15="http://schemas.microsoft.com/office/drawing/2012/chart" uri="{CE6537A1-D6FC-4f65-9D91-7224C49458BB}"/>
              </c:extLst>
            </c:dLbl>
            <c:spPr>
              <a:noFill/>
              <a:ln>
                <a:noFill/>
              </a:ln>
              <a:effectLst/>
            </c:spPr>
            <c:txPr>
              <a:bodyPr/>
              <a:lstStyle/>
              <a:p>
                <a:pPr>
                  <a:defRPr sz="800" b="1" i="0" baseline="0">
                    <a:latin typeface="Times New Roman" pitchFamily="18" charset="0"/>
                  </a:defRPr>
                </a:pPr>
                <a:endParaRPr lang="es-CR"/>
              </a:p>
            </c:txPr>
            <c:showLegendKey val="0"/>
            <c:showVal val="0"/>
            <c:showCatName val="1"/>
            <c:showSerName val="0"/>
            <c:showPercent val="0"/>
            <c:showBubbleSize val="0"/>
            <c:showLeaderLines val="1"/>
            <c:extLst>
              <c:ext xmlns:c15="http://schemas.microsoft.com/office/drawing/2012/chart" uri="{CE6537A1-D6FC-4f65-9D91-7224C49458BB}"/>
            </c:extLst>
          </c:dLbls>
          <c:cat>
            <c:strRef>
              <c:f>graficos!$A$21:$A$31</c:f>
              <c:strCache>
                <c:ptCount val="11"/>
                <c:pt idx="0">
                  <c:v>Asociación Costarricense para el Tamizaje</c:v>
                </c:pt>
                <c:pt idx="1">
                  <c:v>Asoc. Cruz Roja Costarricense</c:v>
                </c:pt>
                <c:pt idx="2">
                  <c:v>Asoc. Gerontológica Costarricense</c:v>
                </c:pt>
                <c:pt idx="3">
                  <c:v>Caja Costarricense de Seguro Social</c:v>
                </c:pt>
                <c:pt idx="4">
                  <c:v>Comisión Nacional de Vacunación…</c:v>
                </c:pt>
                <c:pt idx="5">
                  <c:v>Consejo Nacional de la P. Pública de la Persona Joven</c:v>
                </c:pt>
                <c:pt idx="6">
                  <c:v>Centro Psiquiátrico Penitenciario</c:v>
                </c:pt>
                <c:pt idx="7">
                  <c:v>Consejo Técnico de Asistencia Social</c:v>
                </c:pt>
                <c:pt idx="8">
                  <c:v>Instituto Costarricense del Deporte y la Recreación</c:v>
                </c:pt>
                <c:pt idx="9">
                  <c:v>Asoc. Hogares Crea</c:v>
                </c:pt>
                <c:pt idx="10">
                  <c:v>Banco Hipotecario de la Vivienda</c:v>
                </c:pt>
              </c:strCache>
            </c:strRef>
          </c:cat>
          <c:val>
            <c:numRef>
              <c:f>graficos!$B$21:$B$31</c:f>
              <c:numCache>
                <c:formatCode>#,##0.00</c:formatCode>
                <c:ptCount val="11"/>
                <c:pt idx="0">
                  <c:v>404690530.44</c:v>
                </c:pt>
                <c:pt idx="1">
                  <c:v>564708842.58000004</c:v>
                </c:pt>
                <c:pt idx="2">
                  <c:v>469678327.65000004</c:v>
                </c:pt>
                <c:pt idx="3">
                  <c:v>2801703672.27</c:v>
                </c:pt>
                <c:pt idx="4">
                  <c:v>176981012</c:v>
                </c:pt>
                <c:pt idx="5">
                  <c:v>288296948.75</c:v>
                </c:pt>
                <c:pt idx="6">
                  <c:v>19319135.98</c:v>
                </c:pt>
                <c:pt idx="7">
                  <c:v>985577507.66999996</c:v>
                </c:pt>
                <c:pt idx="8">
                  <c:v>525641337.45999998</c:v>
                </c:pt>
                <c:pt idx="9">
                  <c:v>77825102.039999992</c:v>
                </c:pt>
                <c:pt idx="10">
                  <c:v>534790686</c:v>
                </c:pt>
              </c:numCache>
            </c:numRef>
          </c:val>
        </c:ser>
        <c:dLbls>
          <c:showLegendKey val="0"/>
          <c:showVal val="0"/>
          <c:showCatName val="1"/>
          <c:showSerName val="0"/>
          <c:showPercent val="0"/>
          <c:showBubbleSize val="0"/>
          <c:showLeaderLines val="1"/>
        </c:dLbls>
        <c:firstSliceAng val="0"/>
      </c:pieChart>
    </c:plotArea>
    <c:plotVisOnly val="1"/>
    <c:dispBlanksAs val="gap"/>
    <c:showDLblsOverMax val="0"/>
  </c:chart>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1576B-8820-4EAA-B189-B7966EC1C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11394</Words>
  <Characters>62669</Characters>
  <Application>Microsoft Office Word</Application>
  <DocSecurity>0</DocSecurity>
  <Lines>522</Lines>
  <Paragraphs>147</Paragraphs>
  <ScaleCrop>false</ScaleCrop>
  <HeadingPairs>
    <vt:vector size="2" baseType="variant">
      <vt:variant>
        <vt:lpstr>Título</vt:lpstr>
      </vt:variant>
      <vt:variant>
        <vt:i4>1</vt:i4>
      </vt:variant>
    </vt:vector>
  </HeadingPairs>
  <TitlesOfParts>
    <vt:vector size="1" baseType="lpstr">
      <vt:lpstr>ÍNDICE</vt:lpstr>
    </vt:vector>
  </TitlesOfParts>
  <Company>JPS</Company>
  <LinksUpToDate>false</LinksUpToDate>
  <CharactersWithSpaces>73916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ÍNDICE</dc:title>
  <dc:creator>ZAIRA PICADO</dc:creator>
  <cp:lastModifiedBy>Fabiola Araya Zúñiga</cp:lastModifiedBy>
  <cp:revision>1</cp:revision>
  <cp:lastPrinted>2014-01-20T17:35:00Z</cp:lastPrinted>
  <dcterms:created xsi:type="dcterms:W3CDTF">2017-06-19T19:03:00Z</dcterms:created>
  <dcterms:modified xsi:type="dcterms:W3CDTF">2017-06-19T19:03:00Z</dcterms:modified>
</cp:coreProperties>
</file>